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purl.oclc.org/ooxml/officeDocument/relationships/metadata/thumbnail" Target="docProps/thumbnail.emf"/><Relationship Id="rId1" Type="http://purl.oclc.org/ooxml/officeDocument/relationships/officeDocument" Target="word/document.xml"/><Relationship Id="rId4" Type="http://purl.oclc.org/ooxml/officeDocument/relationships/extendedProperties" Target="docProps/app.xml"/></Relationships>
</file>

<file path=word/document.xml><?xml version="1.0" encoding="utf-8"?>
<w:document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conformance="strict">
  <w:body>
    <w:p w14:paraId="01093997" w14:textId="77777777" w:rsidR="00AC5C9D" w:rsidRDefault="00AC5C9D" w:rsidP="00590425">
      <w:pPr>
        <w:pStyle w:val="papertitle"/>
        <w:spacing w:before="5pt" w:beforeAutospacing="1" w:after="5pt" w:afterAutospacing="1"/>
        <w:rPr>
          <w:kern w:val="48"/>
        </w:rPr>
      </w:pPr>
    </w:p>
    <w:p w14:paraId="365C3B2A" w14:textId="04A8AFBF" w:rsidR="009303D9" w:rsidRPr="002822FB" w:rsidRDefault="00AC5C9D" w:rsidP="00E661B3">
      <w:pPr>
        <w:pStyle w:val="papertitle"/>
        <w:spacing w:before="5pt" w:beforeAutospacing="1" w:after="5pt" w:afterAutospacing="1"/>
        <w:rPr>
          <w:kern w:val="48"/>
        </w:rPr>
      </w:pPr>
      <w:r w:rsidRPr="002822FB">
        <w:rPr>
          <w:kern w:val="48"/>
        </w:rPr>
        <w:t>Trageting SARS-C</w:t>
      </w:r>
      <w:r w:rsidR="00E661B3" w:rsidRPr="002822FB">
        <w:rPr>
          <w:kern w:val="48"/>
        </w:rPr>
        <w:t>o</w:t>
      </w:r>
      <w:r w:rsidRPr="002822FB">
        <w:rPr>
          <w:kern w:val="48"/>
        </w:rPr>
        <w:t xml:space="preserve">V-2 variants of COVID-19 with </w:t>
      </w:r>
      <w:r w:rsidR="00372376" w:rsidRPr="002822FB">
        <w:rPr>
          <w:kern w:val="48"/>
        </w:rPr>
        <w:t>some fluoroquinolones</w:t>
      </w:r>
      <w:r w:rsidRPr="002822FB">
        <w:rPr>
          <w:kern w:val="48"/>
        </w:rPr>
        <w:t>: An in-silico study</w:t>
      </w:r>
    </w:p>
    <w:p w14:paraId="6535FC3F" w14:textId="77777777" w:rsidR="00E661B3" w:rsidRPr="002822FB" w:rsidRDefault="00E661B3" w:rsidP="00E661B3">
      <w:pPr>
        <w:pStyle w:val="Author"/>
        <w:spacing w:before="0pt"/>
        <w:rPr>
          <w:sz w:val="18"/>
          <w:szCs w:val="18"/>
        </w:rPr>
      </w:pPr>
    </w:p>
    <w:p w14:paraId="113B026F" w14:textId="3AC36339" w:rsidR="00E661B3" w:rsidRPr="002822FB" w:rsidRDefault="00E661B3" w:rsidP="00C1721A">
      <w:pPr>
        <w:pStyle w:val="Author"/>
        <w:spacing w:before="0pt" w:after="0pt"/>
        <w:rPr>
          <w:sz w:val="18"/>
          <w:szCs w:val="18"/>
        </w:rPr>
      </w:pPr>
      <w:r w:rsidRPr="002822FB">
        <w:rPr>
          <w:sz w:val="18"/>
          <w:szCs w:val="18"/>
        </w:rPr>
        <w:t>*</w:t>
      </w:r>
      <w:r w:rsidR="00C1721A" w:rsidRPr="002822FB">
        <w:rPr>
          <w:sz w:val="18"/>
          <w:szCs w:val="18"/>
        </w:rPr>
        <w:t xml:space="preserve"> </w:t>
      </w:r>
      <w:r w:rsidRPr="002822FB">
        <w:rPr>
          <w:sz w:val="18"/>
          <w:szCs w:val="18"/>
        </w:rPr>
        <w:t>Leila Karami</w:t>
      </w:r>
      <w:r w:rsidRPr="002822FB">
        <w:rPr>
          <w:sz w:val="18"/>
          <w:szCs w:val="18"/>
        </w:rPr>
        <w:br/>
      </w:r>
      <w:r w:rsidRPr="002822FB">
        <w:rPr>
          <w:sz w:val="18"/>
          <w:szCs w:val="18"/>
        </w:rPr>
        <w:br/>
        <w:t>Faculty of Biological Science, Kharazmi University, Tehran, Iran</w:t>
      </w:r>
    </w:p>
    <w:p w14:paraId="1FD91E90" w14:textId="77777777" w:rsidR="00E661B3" w:rsidRPr="002822FB" w:rsidRDefault="00E661B3" w:rsidP="00E661B3">
      <w:pPr>
        <w:pStyle w:val="Author"/>
        <w:spacing w:before="0pt"/>
        <w:rPr>
          <w:sz w:val="18"/>
          <w:szCs w:val="18"/>
        </w:rPr>
      </w:pPr>
    </w:p>
    <w:p w14:paraId="677643AA" w14:textId="040DB65A" w:rsidR="00E661B3" w:rsidRPr="002822FB" w:rsidRDefault="00E661B3" w:rsidP="00E661B3">
      <w:pPr>
        <w:rPr>
          <w:rFonts w:cs="B Nazanin"/>
          <w:sz w:val="16"/>
          <w:szCs w:val="16"/>
          <w:rtl/>
          <w:lang w:bidi="fa-IR"/>
        </w:rPr>
      </w:pPr>
      <w:r w:rsidRPr="002822FB">
        <w:rPr>
          <w:rFonts w:cs="B Nazanin"/>
          <w:sz w:val="16"/>
          <w:szCs w:val="16"/>
          <w:lang w:bidi="fa-IR"/>
        </w:rPr>
        <w:t>l_karami@khu.ac.ir</w:t>
      </w:r>
    </w:p>
    <w:p w14:paraId="15EE1FAD" w14:textId="2C6DABB7" w:rsidR="004C694C" w:rsidRPr="002822FB" w:rsidRDefault="004C694C" w:rsidP="004C694C">
      <w:pPr>
        <w:pStyle w:val="Author"/>
        <w:spacing w:before="0pt"/>
        <w:rPr>
          <w:sz w:val="18"/>
          <w:szCs w:val="18"/>
        </w:rPr>
        <w:sectPr w:rsidR="004C694C" w:rsidRPr="002822FB" w:rsidSect="009B65D8">
          <w:headerReference w:type="even" r:id="rId8"/>
          <w:headerReference w:type="default" r:id="rId9"/>
          <w:footerReference w:type="even" r:id="rId10"/>
          <w:footerReference w:type="default" r:id="rId11"/>
          <w:headerReference w:type="first" r:id="rId12"/>
          <w:footerReference w:type="first" r:id="rId13"/>
          <w:type w:val="continuous"/>
          <w:pgSz w:w="595.30pt" w:h="841.90pt" w:code="9"/>
          <w:pgMar w:top="113.40pt" w:right="44.65pt" w:bottom="72pt" w:left="44.65pt" w:header="36pt" w:footer="36pt" w:gutter="0pt"/>
          <w:cols w:space="36pt"/>
          <w:titlePg/>
          <w:docGrid w:linePitch="360"/>
        </w:sectPr>
      </w:pPr>
    </w:p>
    <w:p w14:paraId="5B16892D" w14:textId="46631573" w:rsidR="002C5D1B" w:rsidRPr="002822FB" w:rsidRDefault="002C5D1B" w:rsidP="00E661B3">
      <w:pPr>
        <w:rPr>
          <w:rFonts w:cs="B Nazanin"/>
          <w:sz w:val="16"/>
          <w:szCs w:val="16"/>
          <w:lang w:bidi="fa-IR"/>
        </w:rPr>
        <w:sectPr w:rsidR="002C5D1B" w:rsidRPr="002822FB" w:rsidSect="005156EC">
          <w:type w:val="continuous"/>
          <w:pgSz w:w="595.30pt" w:h="841.90pt" w:code="9"/>
          <w:pgMar w:top="113.40pt" w:right="44.65pt" w:bottom="72pt" w:left="44.65pt" w:header="36pt" w:footer="36pt" w:gutter="0pt"/>
          <w:cols w:space="36pt"/>
          <w:docGrid w:linePitch="360"/>
        </w:sectPr>
      </w:pPr>
    </w:p>
    <w:p w14:paraId="0A995CE4" w14:textId="77777777" w:rsidR="003A644E" w:rsidRPr="002822FB" w:rsidRDefault="003A644E"/>
    <w:p w14:paraId="388D4CA1" w14:textId="77777777" w:rsidR="003A644E" w:rsidRPr="002822FB" w:rsidRDefault="003A644E">
      <w:pPr>
        <w:sectPr w:rsidR="003A644E" w:rsidRPr="002822FB" w:rsidSect="005156EC">
          <w:type w:val="continuous"/>
          <w:pgSz w:w="595.30pt" w:h="841.90pt" w:code="9"/>
          <w:pgMar w:top="113.40pt" w:right="44.65pt" w:bottom="72pt" w:left="44.65pt" w:header="36pt" w:footer="36pt" w:gutter="0pt"/>
          <w:cols w:num="3" w:space="36pt"/>
          <w:docGrid w:linePitch="360"/>
        </w:sectPr>
      </w:pPr>
    </w:p>
    <w:p w14:paraId="5D584CBA" w14:textId="11264AB9" w:rsidR="00253C8B" w:rsidRPr="002822FB" w:rsidRDefault="003A644E" w:rsidP="00156422">
      <w:pPr>
        <w:pStyle w:val="Abstract"/>
        <w:ind w:firstLine="0pt"/>
        <w:rPr>
          <w:i/>
          <w:iCs/>
        </w:rPr>
      </w:pPr>
      <w:r w:rsidRPr="002822FB">
        <w:rPr>
          <w:i/>
          <w:iCs/>
        </w:rPr>
        <w:lastRenderedPageBreak/>
        <w:t>Abstract</w:t>
      </w:r>
      <w:r w:rsidRPr="002822FB">
        <w:t>—</w:t>
      </w:r>
      <w:r w:rsidR="008B4B9A" w:rsidRPr="002822FB">
        <w:t xml:space="preserve"> </w:t>
      </w:r>
      <w:r w:rsidR="00156422" w:rsidRPr="002822FB">
        <w:rPr>
          <w:rFonts w:asciiTheme="majorBidi" w:hAnsiTheme="majorBidi" w:cstheme="majorBidi"/>
        </w:rPr>
        <w:t>Coronavirus disease-2019 (COVID-19) is a global health emergency and the matter of serious concern, which has been declared a pandemic by WHO. For tackling COVID-19, researchers from around the world are swiftly working on designing and identifying inhibitors against all possible viral key protein targets. One of the attractive drug targets is spike protein of SARS-CoV-2 which plays the main role in entering the virus to the host cell through angiotensin-converting-enzyme 2 (ACE2) receptors. To date, the various genetic mutations have led to multiple variants of concern (VOCs) and variants of interest (VOIs) in worldwide circulation. In this study, we used in-</w:t>
      </w:r>
      <w:proofErr w:type="spellStart"/>
      <w:r w:rsidR="00156422" w:rsidRPr="002822FB">
        <w:rPr>
          <w:rFonts w:asciiTheme="majorBidi" w:hAnsiTheme="majorBidi" w:cstheme="majorBidi"/>
        </w:rPr>
        <w:t>silico</w:t>
      </w:r>
      <w:proofErr w:type="spellEnd"/>
      <w:r w:rsidR="00156422" w:rsidRPr="002822FB">
        <w:rPr>
          <w:rFonts w:asciiTheme="majorBidi" w:hAnsiTheme="majorBidi" w:cstheme="majorBidi"/>
        </w:rPr>
        <w:t xml:space="preserve"> approaches (molecular docking, molecular dynamics simulation and MM-PBSA calculations) to investigate inhibitory activity of </w:t>
      </w:r>
      <w:proofErr w:type="spellStart"/>
      <w:r w:rsidR="00156422" w:rsidRPr="002822FB">
        <w:rPr>
          <w:rFonts w:asciiTheme="majorBidi" w:hAnsiTheme="majorBidi" w:cstheme="majorBidi"/>
        </w:rPr>
        <w:t>moxifloxacin</w:t>
      </w:r>
      <w:proofErr w:type="spellEnd"/>
      <w:r w:rsidR="00156422" w:rsidRPr="002822FB">
        <w:rPr>
          <w:rFonts w:asciiTheme="majorBidi" w:hAnsiTheme="majorBidi" w:cstheme="majorBidi"/>
        </w:rPr>
        <w:t xml:space="preserve"> and ciprofloxacin against delta and lambda variants of SARS-CoV-2-RBD. These compounds are commercially fluoroquinolones applied to combat the bacterial infections. Structural (root mean square deviation and radius of gyration) and thermodynamics analysis (binding free energy)</w:t>
      </w:r>
      <w:r w:rsidR="00156422" w:rsidRPr="002822FB">
        <w:rPr>
          <w:rFonts w:asciiTheme="majorBidi" w:hAnsiTheme="majorBidi" w:cstheme="majorBidi"/>
          <w:lang w:bidi="fa-IR"/>
        </w:rPr>
        <w:t xml:space="preserve"> showed that the effect of </w:t>
      </w:r>
      <w:proofErr w:type="spellStart"/>
      <w:r w:rsidR="00156422" w:rsidRPr="002822FB">
        <w:rPr>
          <w:rFonts w:asciiTheme="majorBidi" w:hAnsiTheme="majorBidi" w:cstheme="majorBidi"/>
        </w:rPr>
        <w:t>moxifloxacin</w:t>
      </w:r>
      <w:proofErr w:type="spellEnd"/>
      <w:r w:rsidR="00156422" w:rsidRPr="002822FB">
        <w:rPr>
          <w:rFonts w:asciiTheme="majorBidi" w:hAnsiTheme="majorBidi" w:cstheme="majorBidi"/>
        </w:rPr>
        <w:t xml:space="preserve"> in the stability of both of delta and lambda variants of SARS-CoV-2-RBD is more than that of ciprofloxacin. Also, MM-PBSA analysis indicated that the affinity of </w:t>
      </w:r>
      <w:proofErr w:type="spellStart"/>
      <w:r w:rsidR="00156422" w:rsidRPr="002822FB">
        <w:rPr>
          <w:rFonts w:asciiTheme="majorBidi" w:hAnsiTheme="majorBidi" w:cstheme="majorBidi"/>
        </w:rPr>
        <w:t>moxifloxacin</w:t>
      </w:r>
      <w:proofErr w:type="spellEnd"/>
      <w:r w:rsidR="00156422" w:rsidRPr="002822FB">
        <w:rPr>
          <w:rFonts w:asciiTheme="majorBidi" w:hAnsiTheme="majorBidi" w:cstheme="majorBidi"/>
        </w:rPr>
        <w:t xml:space="preserve"> to both of delta and lambda variants of SARS-CoV-2-RBD is more than that of ciprofloxacin.</w:t>
      </w:r>
    </w:p>
    <w:p w14:paraId="1F845569" w14:textId="050D4313" w:rsidR="003A644E" w:rsidRPr="002822FB" w:rsidRDefault="003A644E" w:rsidP="00156422">
      <w:pPr>
        <w:pStyle w:val="Keywords"/>
      </w:pPr>
      <w:r w:rsidRPr="002822FB">
        <w:t>Keywords—</w:t>
      </w:r>
      <w:r w:rsidR="008B4B9A" w:rsidRPr="002822FB">
        <w:t xml:space="preserve"> </w:t>
      </w:r>
      <w:r w:rsidR="00156422" w:rsidRPr="002822FB">
        <w:t xml:space="preserve">COVID-19, SARSCoV-2, Spike Protein, MD Simulation, </w:t>
      </w:r>
      <w:proofErr w:type="spellStart"/>
      <w:r w:rsidR="00156422" w:rsidRPr="002822FB">
        <w:t>Moxifloxacin</w:t>
      </w:r>
      <w:proofErr w:type="spellEnd"/>
      <w:r w:rsidR="00156422" w:rsidRPr="002822FB">
        <w:t>, Ciprofloxacin.</w:t>
      </w:r>
    </w:p>
    <w:p w14:paraId="32CD6ED1" w14:textId="77777777" w:rsidR="003A644E" w:rsidRPr="002822FB" w:rsidRDefault="003A644E"/>
    <w:p w14:paraId="7367E298" w14:textId="77777777" w:rsidR="00352904" w:rsidRPr="002822FB" w:rsidRDefault="00352904" w:rsidP="00352904">
      <w:pPr>
        <w:pStyle w:val="papertitle"/>
        <w:bidi/>
        <w:spacing w:before="5pt" w:beforeAutospacing="1" w:after="5pt" w:afterAutospacing="1"/>
        <w:rPr>
          <w:rFonts w:cs="B Titr"/>
          <w:kern w:val="48"/>
          <w:sz w:val="28"/>
          <w:szCs w:val="28"/>
          <w:lang w:bidi="fa-IR"/>
        </w:rPr>
      </w:pPr>
      <w:r w:rsidRPr="002822FB">
        <w:rPr>
          <w:rFonts w:cs="B Titr" w:hint="cs"/>
          <w:kern w:val="48"/>
          <w:sz w:val="28"/>
          <w:szCs w:val="28"/>
          <w:rtl/>
          <w:lang w:bidi="fa-IR"/>
        </w:rPr>
        <w:t xml:space="preserve">بررسی محاسباتی بعضی از فلوروکینولون ها بر علیه گونه </w:t>
      </w:r>
      <w:r w:rsidRPr="002822FB">
        <w:rPr>
          <w:rFonts w:cs="B Titr" w:hint="cs"/>
          <w:b/>
          <w:bCs/>
          <w:kern w:val="48"/>
          <w:sz w:val="28"/>
          <w:szCs w:val="28"/>
          <w:rtl/>
          <w:lang w:bidi="fa-IR"/>
        </w:rPr>
        <w:t xml:space="preserve">های </w:t>
      </w:r>
      <w:r w:rsidRPr="002822FB">
        <w:rPr>
          <w:rFonts w:cs="B Titr"/>
          <w:b/>
          <w:bCs/>
          <w:kern w:val="48"/>
          <w:sz w:val="28"/>
          <w:szCs w:val="28"/>
          <w:lang w:bidi="fa-IR"/>
        </w:rPr>
        <w:t>SARS-CoV-2</w:t>
      </w:r>
      <w:r w:rsidRPr="002822FB">
        <w:rPr>
          <w:rFonts w:cs="B Titr" w:hint="cs"/>
          <w:kern w:val="48"/>
          <w:sz w:val="28"/>
          <w:szCs w:val="28"/>
          <w:rtl/>
          <w:lang w:bidi="fa-IR"/>
        </w:rPr>
        <w:t xml:space="preserve"> کووید-</w:t>
      </w:r>
      <w:r w:rsidRPr="00F35615">
        <w:rPr>
          <w:rFonts w:cs="B Titr" w:hint="cs"/>
          <w:b/>
          <w:bCs/>
          <w:kern w:val="48"/>
          <w:sz w:val="28"/>
          <w:szCs w:val="28"/>
          <w:rtl/>
          <w:lang w:bidi="fa-IR"/>
        </w:rPr>
        <w:t>19</w:t>
      </w:r>
      <w:r w:rsidRPr="002822FB">
        <w:rPr>
          <w:rFonts w:cs="B Titr" w:hint="cs"/>
          <w:kern w:val="48"/>
          <w:sz w:val="28"/>
          <w:szCs w:val="28"/>
          <w:rtl/>
          <w:lang w:bidi="fa-IR"/>
        </w:rPr>
        <w:t xml:space="preserve"> </w:t>
      </w:r>
      <w:r w:rsidRPr="002822FB">
        <w:rPr>
          <w:rFonts w:cs="B Titr" w:hint="cs"/>
          <w:kern w:val="48"/>
          <w:sz w:val="28"/>
          <w:szCs w:val="28"/>
          <w:rtl/>
        </w:rPr>
        <w:t xml:space="preserve"> </w:t>
      </w:r>
    </w:p>
    <w:p w14:paraId="736CE949" w14:textId="77777777" w:rsidR="00352904" w:rsidRPr="002822FB" w:rsidRDefault="00352904" w:rsidP="00352904">
      <w:pPr>
        <w:pStyle w:val="Abstract"/>
        <w:bidi/>
        <w:jc w:val="center"/>
        <w:rPr>
          <w:rFonts w:cs="B Nazanin"/>
          <w:vertAlign w:val="superscript"/>
          <w:rtl/>
          <w:lang w:bidi="fa-IR"/>
        </w:rPr>
      </w:pPr>
      <w:r w:rsidRPr="002822FB">
        <w:rPr>
          <w:rFonts w:cs="B Nazanin" w:hint="cs"/>
          <w:rtl/>
          <w:lang w:bidi="fa-IR"/>
        </w:rPr>
        <w:t>* لیلا کرمی</w:t>
      </w:r>
    </w:p>
    <w:p w14:paraId="343E9054" w14:textId="77777777" w:rsidR="00352904" w:rsidRPr="002822FB" w:rsidRDefault="00352904" w:rsidP="00352904">
      <w:pPr>
        <w:pStyle w:val="Abstract"/>
        <w:bidi/>
        <w:jc w:val="center"/>
        <w:rPr>
          <w:rFonts w:cs="B Nazanin"/>
          <w:sz w:val="16"/>
          <w:szCs w:val="16"/>
          <w:rtl/>
          <w:lang w:bidi="fa-IR"/>
        </w:rPr>
      </w:pPr>
      <w:r w:rsidRPr="002822FB">
        <w:rPr>
          <w:rFonts w:cs="B Nazanin"/>
          <w:sz w:val="16"/>
          <w:szCs w:val="16"/>
          <w:rtl/>
          <w:lang w:bidi="fa-IR"/>
        </w:rPr>
        <w:t>دانشکده</w:t>
      </w:r>
      <w:r w:rsidRPr="002822FB">
        <w:rPr>
          <w:rFonts w:cs="B Nazanin" w:hint="cs"/>
          <w:sz w:val="16"/>
          <w:szCs w:val="16"/>
          <w:rtl/>
          <w:lang w:bidi="fa-IR"/>
        </w:rPr>
        <w:t xml:space="preserve"> علوم زیستی،</w:t>
      </w:r>
      <w:r w:rsidRPr="002822FB">
        <w:rPr>
          <w:rFonts w:cs="B Nazanin"/>
          <w:sz w:val="16"/>
          <w:szCs w:val="16"/>
          <w:rtl/>
          <w:lang w:bidi="fa-IR"/>
        </w:rPr>
        <w:t xml:space="preserve"> دانشگاه</w:t>
      </w:r>
      <w:r w:rsidRPr="002822FB">
        <w:rPr>
          <w:rFonts w:cs="B Nazanin" w:hint="cs"/>
          <w:sz w:val="16"/>
          <w:szCs w:val="16"/>
          <w:rtl/>
          <w:lang w:bidi="fa-IR"/>
        </w:rPr>
        <w:t xml:space="preserve"> خوارزمی</w:t>
      </w:r>
      <w:r w:rsidRPr="002822FB">
        <w:rPr>
          <w:rFonts w:cs="B Nazanin"/>
          <w:sz w:val="16"/>
          <w:szCs w:val="16"/>
          <w:rtl/>
          <w:lang w:bidi="fa-IR"/>
        </w:rPr>
        <w:t>،</w:t>
      </w:r>
      <w:r w:rsidRPr="002822FB">
        <w:rPr>
          <w:rFonts w:cs="B Nazanin" w:hint="cs"/>
          <w:sz w:val="16"/>
          <w:szCs w:val="16"/>
          <w:rtl/>
          <w:lang w:bidi="fa-IR"/>
        </w:rPr>
        <w:t xml:space="preserve"> تهران، ایران</w:t>
      </w:r>
    </w:p>
    <w:p w14:paraId="5F33B544" w14:textId="77777777" w:rsidR="00352904" w:rsidRPr="002822FB" w:rsidRDefault="00352904" w:rsidP="00352904">
      <w:pPr>
        <w:rPr>
          <w:rFonts w:cs="B Nazanin"/>
          <w:sz w:val="16"/>
          <w:szCs w:val="16"/>
          <w:rtl/>
          <w:lang w:bidi="fa-IR"/>
        </w:rPr>
      </w:pPr>
      <w:proofErr w:type="spellStart"/>
      <w:r w:rsidRPr="002822FB">
        <w:rPr>
          <w:rFonts w:cs="B Nazanin"/>
          <w:sz w:val="16"/>
          <w:szCs w:val="16"/>
          <w:lang w:bidi="fa-IR"/>
        </w:rPr>
        <w:t>l_karami</w:t>
      </w:r>
      <w:proofErr w:type="spellEnd"/>
      <w:r w:rsidRPr="002822FB">
        <w:rPr>
          <w:rFonts w:cs="B Nazanin"/>
          <w:sz w:val="16"/>
          <w:szCs w:val="16"/>
          <w:rtl/>
          <w:lang w:bidi="fa-IR"/>
        </w:rPr>
        <w:t>@</w:t>
      </w:r>
      <w:r w:rsidRPr="002822FB">
        <w:rPr>
          <w:rFonts w:cs="B Nazanin"/>
          <w:sz w:val="16"/>
          <w:szCs w:val="16"/>
          <w:lang w:bidi="fa-IR"/>
        </w:rPr>
        <w:t>kuu.ac.ir</w:t>
      </w:r>
    </w:p>
    <w:p w14:paraId="5DBDC7DF" w14:textId="77777777" w:rsidR="00352904" w:rsidRPr="002822FB" w:rsidRDefault="00352904" w:rsidP="00352904">
      <w:pPr>
        <w:pStyle w:val="Abstract"/>
        <w:bidi/>
        <w:rPr>
          <w:rFonts w:cs="B Nazanin"/>
          <w:rtl/>
          <w:lang w:bidi="fa-IR"/>
        </w:rPr>
      </w:pPr>
    </w:p>
    <w:p w14:paraId="54A98B81" w14:textId="77777777" w:rsidR="00352904" w:rsidRPr="002822FB" w:rsidRDefault="00352904" w:rsidP="00352904">
      <w:pPr>
        <w:pStyle w:val="Abstract"/>
        <w:bidi/>
        <w:rPr>
          <w:rFonts w:asciiTheme="majorBidi" w:hAnsiTheme="majorBidi" w:cs="B Nazanin"/>
          <w:b w:val="0"/>
          <w:bCs w:val="0"/>
          <w:lang w:bidi="fa-IR"/>
        </w:rPr>
      </w:pPr>
      <w:r w:rsidRPr="002822FB">
        <w:rPr>
          <w:rFonts w:cs="B Nazanin" w:hint="cs"/>
          <w:rtl/>
        </w:rPr>
        <w:t xml:space="preserve">چکیده: </w:t>
      </w:r>
      <w:r w:rsidRPr="002822FB">
        <w:rPr>
          <w:rFonts w:asciiTheme="majorBidi" w:hAnsiTheme="majorBidi" w:cs="B Nazanin"/>
          <w:b w:val="0"/>
          <w:bCs w:val="0"/>
          <w:rtl/>
          <w:lang w:bidi="fa-IR"/>
        </w:rPr>
        <w:t>ب</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مار</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کروناو</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روس</w:t>
      </w:r>
      <w:r w:rsidRPr="002822FB">
        <w:rPr>
          <w:rFonts w:asciiTheme="majorBidi" w:hAnsiTheme="majorBidi" w:cs="B Nazanin"/>
          <w:b w:val="0"/>
          <w:bCs w:val="0"/>
          <w:rtl/>
          <w:lang w:bidi="fa-IR"/>
        </w:rPr>
        <w:t xml:space="preserve">-2019 </w:t>
      </w:r>
      <w:r w:rsidRPr="002822FB">
        <w:rPr>
          <w:rFonts w:asciiTheme="majorBidi" w:hAnsiTheme="majorBidi" w:cs="B Nazanin" w:hint="cs"/>
          <w:b w:val="0"/>
          <w:bCs w:val="0"/>
          <w:rtl/>
          <w:lang w:bidi="fa-IR"/>
        </w:rPr>
        <w:t>(کووید-19) ی</w:t>
      </w:r>
      <w:r w:rsidRPr="002822FB">
        <w:rPr>
          <w:rFonts w:asciiTheme="majorBidi" w:hAnsiTheme="majorBidi" w:cs="B Nazanin" w:hint="eastAsia"/>
          <w:b w:val="0"/>
          <w:bCs w:val="0"/>
          <w:rtl/>
          <w:lang w:bidi="fa-IR"/>
        </w:rPr>
        <w:t>ک</w:t>
      </w:r>
      <w:r w:rsidRPr="002822FB">
        <w:rPr>
          <w:rFonts w:asciiTheme="majorBidi" w:hAnsiTheme="majorBidi" w:cs="B Nazanin"/>
          <w:b w:val="0"/>
          <w:bCs w:val="0"/>
          <w:rtl/>
          <w:lang w:bidi="fa-IR"/>
        </w:rPr>
        <w:t xml:space="preserve"> فور</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ت</w:t>
      </w:r>
      <w:r w:rsidRPr="002822FB">
        <w:rPr>
          <w:rFonts w:asciiTheme="majorBidi" w:hAnsiTheme="majorBidi" w:cs="B Nazanin"/>
          <w:b w:val="0"/>
          <w:bCs w:val="0"/>
          <w:rtl/>
          <w:lang w:bidi="fa-IR"/>
        </w:rPr>
        <w:t xml:space="preserve"> بهداشت</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جهان</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و موضوع</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نگران کننده است که توسط </w:t>
      </w:r>
      <w:r w:rsidRPr="002822FB">
        <w:rPr>
          <w:rFonts w:asciiTheme="majorBidi" w:hAnsiTheme="majorBidi" w:cs="B Nazanin"/>
          <w:b w:val="0"/>
          <w:bCs w:val="0"/>
          <w:lang w:bidi="fa-IR"/>
        </w:rPr>
        <w:t>WHO</w:t>
      </w:r>
      <w:r w:rsidRPr="002822FB">
        <w:rPr>
          <w:rFonts w:asciiTheme="majorBidi" w:hAnsiTheme="majorBidi" w:cs="B Nazanin"/>
          <w:b w:val="0"/>
          <w:bCs w:val="0"/>
          <w:rtl/>
          <w:lang w:bidi="fa-IR"/>
        </w:rPr>
        <w:t xml:space="preserve"> به عنوان </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ک</w:t>
      </w:r>
      <w:r w:rsidRPr="002822FB">
        <w:rPr>
          <w:rFonts w:asciiTheme="majorBidi" w:hAnsiTheme="majorBidi" w:cs="B Nazanin"/>
          <w:b w:val="0"/>
          <w:bCs w:val="0"/>
          <w:rtl/>
          <w:lang w:bidi="fa-IR"/>
        </w:rPr>
        <w:t xml:space="preserve"> ب</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مار</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همه گ</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ر</w:t>
      </w:r>
      <w:r w:rsidRPr="002822FB">
        <w:rPr>
          <w:rFonts w:asciiTheme="majorBidi" w:hAnsiTheme="majorBidi" w:cs="B Nazanin"/>
          <w:b w:val="0"/>
          <w:bCs w:val="0"/>
          <w:rtl/>
          <w:lang w:bidi="fa-IR"/>
        </w:rPr>
        <w:t xml:space="preserve"> اعلام شده است. برا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مقابله با </w:t>
      </w:r>
      <w:r w:rsidRPr="002822FB">
        <w:rPr>
          <w:rFonts w:asciiTheme="majorBidi" w:hAnsiTheme="majorBidi" w:cs="B Nazanin" w:hint="cs"/>
          <w:b w:val="0"/>
          <w:bCs w:val="0"/>
          <w:rtl/>
          <w:lang w:bidi="fa-IR"/>
        </w:rPr>
        <w:t>کووید-19</w:t>
      </w:r>
      <w:r w:rsidRPr="002822FB">
        <w:rPr>
          <w:rFonts w:asciiTheme="majorBidi" w:hAnsiTheme="majorBidi" w:cs="B Nazanin"/>
          <w:b w:val="0"/>
          <w:bCs w:val="0"/>
          <w:rtl/>
          <w:lang w:bidi="fa-IR"/>
        </w:rPr>
        <w:t>، محققان سراسر جهان به سرعت در حال طراح</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و شناسا</w:t>
      </w:r>
      <w:r w:rsidRPr="002822FB">
        <w:rPr>
          <w:rFonts w:asciiTheme="majorBidi" w:hAnsiTheme="majorBidi" w:cs="B Nazanin" w:hint="cs"/>
          <w:b w:val="0"/>
          <w:bCs w:val="0"/>
          <w:rtl/>
          <w:lang w:bidi="fa-IR"/>
        </w:rPr>
        <w:t>یی</w:t>
      </w:r>
      <w:r w:rsidRPr="002822FB">
        <w:rPr>
          <w:rFonts w:asciiTheme="majorBidi" w:hAnsiTheme="majorBidi" w:cs="B Nazanin"/>
          <w:b w:val="0"/>
          <w:bCs w:val="0"/>
          <w:rtl/>
          <w:lang w:bidi="fa-IR"/>
        </w:rPr>
        <w:t xml:space="preserve"> بازدارنده ها در برابر همه اهداف پروتئ</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کل</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د</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و</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روس</w:t>
      </w:r>
      <w:r w:rsidRPr="002822FB">
        <w:rPr>
          <w:rFonts w:asciiTheme="majorBidi" w:hAnsiTheme="majorBidi" w:cs="B Nazanin"/>
          <w:b w:val="0"/>
          <w:bCs w:val="0"/>
          <w:rtl/>
          <w:lang w:bidi="fa-IR"/>
        </w:rPr>
        <w:t xml:space="preserve"> هستند. </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ک</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از اهداف دارو</w:t>
      </w:r>
      <w:r w:rsidRPr="002822FB">
        <w:rPr>
          <w:rFonts w:asciiTheme="majorBidi" w:hAnsiTheme="majorBidi" w:cs="B Nazanin" w:hint="cs"/>
          <w:b w:val="0"/>
          <w:bCs w:val="0"/>
          <w:rtl/>
          <w:lang w:bidi="fa-IR"/>
        </w:rPr>
        <w:t>یی</w:t>
      </w:r>
      <w:r w:rsidRPr="002822FB">
        <w:rPr>
          <w:rFonts w:asciiTheme="majorBidi" w:hAnsiTheme="majorBidi" w:cs="B Nazanin"/>
          <w:b w:val="0"/>
          <w:bCs w:val="0"/>
          <w:rtl/>
          <w:lang w:bidi="fa-IR"/>
        </w:rPr>
        <w:t xml:space="preserve"> جذاب پروتئ</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سنبله </w:t>
      </w:r>
      <w:r w:rsidRPr="002822FB">
        <w:rPr>
          <w:rFonts w:asciiTheme="majorBidi" w:hAnsiTheme="majorBidi" w:cs="B Nazanin"/>
          <w:b w:val="0"/>
          <w:bCs w:val="0"/>
          <w:lang w:bidi="fa-IR"/>
        </w:rPr>
        <w:t>SARS-CoV-2</w:t>
      </w:r>
      <w:r w:rsidRPr="002822FB">
        <w:rPr>
          <w:rFonts w:asciiTheme="majorBidi" w:hAnsiTheme="majorBidi" w:cs="B Nazanin"/>
          <w:b w:val="0"/>
          <w:bCs w:val="0"/>
          <w:rtl/>
          <w:lang w:bidi="fa-IR"/>
        </w:rPr>
        <w:t xml:space="preserve"> است که نقش اصل</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را در ورود و</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روس</w:t>
      </w:r>
      <w:r w:rsidRPr="002822FB">
        <w:rPr>
          <w:rFonts w:asciiTheme="majorBidi" w:hAnsiTheme="majorBidi" w:cs="B Nazanin"/>
          <w:b w:val="0"/>
          <w:bCs w:val="0"/>
          <w:rtl/>
          <w:lang w:bidi="fa-IR"/>
        </w:rPr>
        <w:t xml:space="preserve"> به سلول م</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زبان</w:t>
      </w:r>
      <w:r w:rsidRPr="002822FB">
        <w:rPr>
          <w:rFonts w:asciiTheme="majorBidi" w:hAnsiTheme="majorBidi" w:cs="B Nazanin"/>
          <w:b w:val="0"/>
          <w:bCs w:val="0"/>
          <w:rtl/>
          <w:lang w:bidi="fa-IR"/>
        </w:rPr>
        <w:t xml:space="preserve"> از طر</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ق</w:t>
      </w:r>
      <w:r w:rsidRPr="002822FB">
        <w:rPr>
          <w:rFonts w:asciiTheme="majorBidi" w:hAnsiTheme="majorBidi" w:cs="B Nazanin"/>
          <w:b w:val="0"/>
          <w:bCs w:val="0"/>
          <w:rtl/>
          <w:lang w:bidi="fa-IR"/>
        </w:rPr>
        <w:t xml:space="preserve"> گ</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رنده</w:t>
      </w:r>
      <w:r w:rsidRPr="002822FB">
        <w:rPr>
          <w:rFonts w:asciiTheme="majorBidi" w:hAnsiTheme="majorBidi" w:cs="B Nazanin"/>
          <w:b w:val="0"/>
          <w:bCs w:val="0"/>
          <w:rtl/>
          <w:lang w:bidi="fa-IR"/>
        </w:rPr>
        <w:t xml:space="preserve"> ها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آنژ</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وتانس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-آنز</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م</w:t>
      </w:r>
      <w:r w:rsidRPr="002822FB">
        <w:rPr>
          <w:rFonts w:asciiTheme="majorBidi" w:hAnsiTheme="majorBidi" w:cs="B Nazanin"/>
          <w:b w:val="0"/>
          <w:bCs w:val="0"/>
          <w:rtl/>
          <w:lang w:bidi="fa-IR"/>
        </w:rPr>
        <w:t xml:space="preserve"> 2</w:t>
      </w:r>
      <w:r w:rsidRPr="002822FB">
        <w:rPr>
          <w:rFonts w:asciiTheme="majorBidi" w:hAnsiTheme="majorBidi" w:cs="B Nazanin"/>
          <w:b w:val="0"/>
          <w:bCs w:val="0"/>
          <w:lang w:bidi="fa-IR"/>
        </w:rPr>
        <w:t xml:space="preserve"> </w:t>
      </w:r>
      <w:r w:rsidRPr="002822FB">
        <w:rPr>
          <w:rFonts w:asciiTheme="majorBidi" w:hAnsiTheme="majorBidi" w:cs="B Nazanin" w:hint="cs"/>
          <w:b w:val="0"/>
          <w:bCs w:val="0"/>
          <w:rtl/>
          <w:lang w:bidi="fa-IR"/>
        </w:rPr>
        <w:t>(</w:t>
      </w:r>
      <w:r w:rsidRPr="002822FB">
        <w:rPr>
          <w:rFonts w:asciiTheme="majorBidi" w:hAnsiTheme="majorBidi" w:cs="B Nazanin"/>
          <w:b w:val="0"/>
          <w:bCs w:val="0"/>
          <w:lang w:bidi="fa-IR"/>
        </w:rPr>
        <w:t>ACE2</w:t>
      </w:r>
      <w:r w:rsidRPr="002822FB">
        <w:rPr>
          <w:rFonts w:asciiTheme="majorBidi" w:hAnsiTheme="majorBidi" w:cs="B Nazanin" w:hint="cs"/>
          <w:b w:val="0"/>
          <w:bCs w:val="0"/>
          <w:rtl/>
          <w:lang w:bidi="fa-IR"/>
        </w:rPr>
        <w:t>) دار</w:t>
      </w:r>
      <w:r w:rsidRPr="002822FB">
        <w:rPr>
          <w:rFonts w:asciiTheme="majorBidi" w:hAnsiTheme="majorBidi" w:cs="B Nazanin"/>
          <w:b w:val="0"/>
          <w:bCs w:val="0"/>
          <w:rtl/>
          <w:lang w:bidi="fa-IR"/>
        </w:rPr>
        <w:t xml:space="preserve">د. تا </w:t>
      </w:r>
      <w:r w:rsidRPr="002822FB">
        <w:rPr>
          <w:rFonts w:asciiTheme="majorBidi" w:hAnsiTheme="majorBidi" w:cs="B Nazanin" w:hint="cs"/>
          <w:b w:val="0"/>
          <w:bCs w:val="0"/>
          <w:rtl/>
          <w:lang w:bidi="fa-IR"/>
        </w:rPr>
        <w:t>کنون</w:t>
      </w:r>
      <w:r w:rsidRPr="002822FB">
        <w:rPr>
          <w:rFonts w:asciiTheme="majorBidi" w:hAnsiTheme="majorBidi" w:cs="B Nazanin"/>
          <w:b w:val="0"/>
          <w:bCs w:val="0"/>
          <w:rtl/>
          <w:lang w:bidi="fa-IR"/>
        </w:rPr>
        <w:t>، جهش ها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ژنت</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ک</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مختلف</w:t>
      </w:r>
      <w:r w:rsidRPr="002822FB">
        <w:rPr>
          <w:rFonts w:asciiTheme="majorBidi" w:hAnsiTheme="majorBidi" w:cs="B Nazanin" w:hint="cs"/>
          <w:b w:val="0"/>
          <w:bCs w:val="0"/>
          <w:rtl/>
          <w:lang w:bidi="fa-IR"/>
        </w:rPr>
        <w:t>ی (</w:t>
      </w:r>
      <w:r w:rsidRPr="002822FB">
        <w:rPr>
          <w:rFonts w:asciiTheme="majorBidi" w:hAnsiTheme="majorBidi" w:cs="B Nazanin"/>
          <w:b w:val="0"/>
          <w:bCs w:val="0"/>
          <w:lang w:bidi="fa-IR"/>
        </w:rPr>
        <w:t>VOC</w:t>
      </w:r>
      <w:r w:rsidRPr="002822FB">
        <w:rPr>
          <w:rFonts w:asciiTheme="majorBidi" w:hAnsiTheme="majorBidi" w:cs="B Nazanin" w:hint="cs"/>
          <w:b w:val="0"/>
          <w:bCs w:val="0"/>
          <w:rtl/>
          <w:lang w:bidi="fa-IR"/>
        </w:rPr>
        <w:t xml:space="preserve"> و </w:t>
      </w:r>
      <w:r w:rsidRPr="002822FB">
        <w:rPr>
          <w:rFonts w:asciiTheme="majorBidi" w:hAnsiTheme="majorBidi" w:cs="B Nazanin"/>
          <w:b w:val="0"/>
          <w:bCs w:val="0"/>
          <w:lang w:bidi="fa-IR"/>
        </w:rPr>
        <w:t>VOI</w:t>
      </w:r>
      <w:r w:rsidRPr="002822FB">
        <w:rPr>
          <w:rFonts w:asciiTheme="majorBidi" w:hAnsiTheme="majorBidi" w:cs="B Nazanin" w:hint="cs"/>
          <w:b w:val="0"/>
          <w:bCs w:val="0"/>
          <w:rtl/>
          <w:lang w:bidi="fa-IR"/>
        </w:rPr>
        <w:t>)</w:t>
      </w:r>
      <w:r w:rsidRPr="002822FB">
        <w:rPr>
          <w:rFonts w:asciiTheme="majorBidi" w:hAnsiTheme="majorBidi" w:cs="B Nazanin"/>
          <w:b w:val="0"/>
          <w:bCs w:val="0"/>
          <w:rtl/>
          <w:lang w:bidi="fa-IR"/>
        </w:rPr>
        <w:t xml:space="preserve"> </w:t>
      </w:r>
      <w:r w:rsidRPr="002822FB">
        <w:rPr>
          <w:rFonts w:asciiTheme="majorBidi" w:hAnsiTheme="majorBidi" w:cs="B Nazanin" w:hint="cs"/>
          <w:b w:val="0"/>
          <w:bCs w:val="0"/>
          <w:rtl/>
          <w:lang w:bidi="fa-IR"/>
        </w:rPr>
        <w:t xml:space="preserve">در </w:t>
      </w:r>
      <w:r w:rsidRPr="002822FB">
        <w:rPr>
          <w:rFonts w:asciiTheme="majorBidi" w:hAnsiTheme="majorBidi" w:cs="B Nazanin"/>
          <w:b w:val="0"/>
          <w:bCs w:val="0"/>
          <w:rtl/>
          <w:lang w:bidi="fa-IR"/>
        </w:rPr>
        <w:t>جهان</w:t>
      </w:r>
      <w:r w:rsidRPr="002822FB">
        <w:rPr>
          <w:rFonts w:asciiTheme="majorBidi" w:hAnsiTheme="majorBidi" w:cs="B Nazanin" w:hint="cs"/>
          <w:b w:val="0"/>
          <w:bCs w:val="0"/>
          <w:rtl/>
          <w:lang w:bidi="fa-IR"/>
        </w:rPr>
        <w:t xml:space="preserve"> گزارش</w:t>
      </w:r>
      <w:r w:rsidRPr="002822FB">
        <w:rPr>
          <w:rFonts w:asciiTheme="majorBidi" w:hAnsiTheme="majorBidi" w:cs="B Nazanin"/>
          <w:b w:val="0"/>
          <w:bCs w:val="0"/>
          <w:rtl/>
          <w:lang w:bidi="fa-IR"/>
        </w:rPr>
        <w:t xml:space="preserve"> شده است. در ا</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مطالعه، از روشها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w:t>
      </w:r>
      <w:r w:rsidRPr="002822FB">
        <w:rPr>
          <w:rFonts w:asciiTheme="majorBidi" w:hAnsiTheme="majorBidi" w:cs="B Nazanin"/>
          <w:b w:val="0"/>
          <w:bCs w:val="0"/>
          <w:lang w:bidi="fa-IR"/>
        </w:rPr>
        <w:t>in-</w:t>
      </w:r>
      <w:proofErr w:type="spellStart"/>
      <w:r w:rsidRPr="002822FB">
        <w:rPr>
          <w:rFonts w:asciiTheme="majorBidi" w:hAnsiTheme="majorBidi" w:cs="B Nazanin"/>
          <w:b w:val="0"/>
          <w:bCs w:val="0"/>
          <w:lang w:bidi="fa-IR"/>
        </w:rPr>
        <w:t>silico</w:t>
      </w:r>
      <w:proofErr w:type="spellEnd"/>
      <w:r w:rsidRPr="002822FB">
        <w:rPr>
          <w:rFonts w:asciiTheme="majorBidi" w:hAnsiTheme="majorBidi" w:cs="B Nazanin"/>
          <w:b w:val="0"/>
          <w:bCs w:val="0"/>
          <w:rtl/>
          <w:lang w:bidi="fa-IR"/>
        </w:rPr>
        <w:t xml:space="preserve"> </w:t>
      </w:r>
      <w:r w:rsidRPr="002822FB">
        <w:rPr>
          <w:rFonts w:asciiTheme="majorBidi" w:hAnsiTheme="majorBidi" w:cs="B Nazanin" w:hint="cs"/>
          <w:b w:val="0"/>
          <w:bCs w:val="0"/>
          <w:rtl/>
          <w:lang w:bidi="fa-IR"/>
        </w:rPr>
        <w:t xml:space="preserve"> ( داکینگ</w:t>
      </w:r>
      <w:r w:rsidRPr="002822FB">
        <w:rPr>
          <w:rFonts w:asciiTheme="majorBidi" w:hAnsiTheme="majorBidi" w:cs="B Nazanin"/>
          <w:b w:val="0"/>
          <w:bCs w:val="0"/>
          <w:rtl/>
          <w:lang w:bidi="fa-IR"/>
        </w:rPr>
        <w:t xml:space="preserve"> مولکول</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شب</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ه</w:t>
      </w:r>
      <w:r w:rsidRPr="002822FB">
        <w:rPr>
          <w:rFonts w:asciiTheme="majorBidi" w:hAnsiTheme="majorBidi" w:cs="B Nazanin"/>
          <w:b w:val="0"/>
          <w:bCs w:val="0"/>
          <w:rtl/>
          <w:lang w:bidi="fa-IR"/>
        </w:rPr>
        <w:t xml:space="preserve"> ساز</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د</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نام</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ک</w:t>
      </w:r>
      <w:r w:rsidRPr="002822FB">
        <w:rPr>
          <w:rFonts w:asciiTheme="majorBidi" w:hAnsiTheme="majorBidi" w:cs="B Nazanin"/>
          <w:b w:val="0"/>
          <w:bCs w:val="0"/>
          <w:rtl/>
          <w:lang w:bidi="fa-IR"/>
        </w:rPr>
        <w:t xml:space="preserve"> مولکول</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و محاسبات</w:t>
      </w:r>
      <w:r w:rsidRPr="002822FB">
        <w:rPr>
          <w:rFonts w:asciiTheme="majorBidi" w:hAnsiTheme="majorBidi" w:cs="B Nazanin" w:hint="cs"/>
          <w:b w:val="0"/>
          <w:bCs w:val="0"/>
          <w:rtl/>
          <w:lang w:bidi="fa-IR"/>
        </w:rPr>
        <w:t xml:space="preserve"> (</w:t>
      </w:r>
      <w:r w:rsidRPr="002822FB">
        <w:rPr>
          <w:rFonts w:asciiTheme="majorBidi" w:hAnsiTheme="majorBidi" w:cs="B Nazanin"/>
          <w:b w:val="0"/>
          <w:bCs w:val="0"/>
          <w:lang w:bidi="fa-IR"/>
        </w:rPr>
        <w:t>MM-PBSA</w:t>
      </w:r>
      <w:r w:rsidRPr="002822FB">
        <w:rPr>
          <w:rFonts w:asciiTheme="majorBidi" w:hAnsiTheme="majorBidi" w:cs="B Nazanin" w:hint="cs"/>
          <w:b w:val="0"/>
          <w:bCs w:val="0"/>
          <w:rtl/>
          <w:lang w:bidi="fa-IR"/>
        </w:rPr>
        <w:t xml:space="preserve">)) </w:t>
      </w:r>
      <w:r w:rsidRPr="002822FB">
        <w:rPr>
          <w:rFonts w:asciiTheme="majorBidi" w:hAnsiTheme="majorBidi" w:cs="B Nazanin"/>
          <w:b w:val="0"/>
          <w:bCs w:val="0"/>
          <w:rtl/>
          <w:lang w:bidi="fa-IR"/>
        </w:rPr>
        <w:t>برا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بررس</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فعال</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ت</w:t>
      </w:r>
      <w:r w:rsidRPr="002822FB">
        <w:rPr>
          <w:rFonts w:asciiTheme="majorBidi" w:hAnsiTheme="majorBidi" w:cs="B Nazanin"/>
          <w:b w:val="0"/>
          <w:bCs w:val="0"/>
          <w:rtl/>
          <w:lang w:bidi="fa-IR"/>
        </w:rPr>
        <w:t xml:space="preserve"> بازدارندگ</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موکس</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و 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پروفلوکساس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در برابر انواع دلتا و لامبدا </w:t>
      </w:r>
      <w:r w:rsidRPr="002822FB">
        <w:rPr>
          <w:rFonts w:asciiTheme="majorBidi" w:hAnsiTheme="majorBidi" w:cs="B Nazanin"/>
          <w:b w:val="0"/>
          <w:bCs w:val="0"/>
          <w:lang w:bidi="fa-IR"/>
        </w:rPr>
        <w:t>SARS-CoV-2-RBD</w:t>
      </w:r>
      <w:r w:rsidRPr="002822FB">
        <w:rPr>
          <w:rFonts w:asciiTheme="majorBidi" w:hAnsiTheme="majorBidi" w:cs="B Nazanin"/>
          <w:b w:val="0"/>
          <w:bCs w:val="0"/>
          <w:rtl/>
          <w:lang w:bidi="fa-IR"/>
        </w:rPr>
        <w:t xml:space="preserve"> استفا</w:t>
      </w:r>
      <w:r w:rsidRPr="002822FB">
        <w:rPr>
          <w:rFonts w:asciiTheme="majorBidi" w:hAnsiTheme="majorBidi" w:cs="B Nazanin" w:hint="eastAsia"/>
          <w:b w:val="0"/>
          <w:bCs w:val="0"/>
          <w:rtl/>
          <w:lang w:bidi="fa-IR"/>
        </w:rPr>
        <w:t>ده</w:t>
      </w:r>
      <w:r w:rsidRPr="002822FB">
        <w:rPr>
          <w:rFonts w:asciiTheme="majorBidi" w:hAnsiTheme="majorBidi" w:cs="B Nazanin"/>
          <w:b w:val="0"/>
          <w:bCs w:val="0"/>
          <w:rtl/>
          <w:lang w:bidi="fa-IR"/>
        </w:rPr>
        <w:t xml:space="preserve"> </w:t>
      </w:r>
      <w:r w:rsidRPr="002822FB">
        <w:rPr>
          <w:rFonts w:asciiTheme="majorBidi" w:hAnsiTheme="majorBidi" w:cs="B Nazanin" w:hint="cs"/>
          <w:b w:val="0"/>
          <w:bCs w:val="0"/>
          <w:rtl/>
          <w:lang w:bidi="fa-IR"/>
        </w:rPr>
        <w:t>شد</w:t>
      </w:r>
      <w:r w:rsidRPr="002822FB">
        <w:rPr>
          <w:rFonts w:asciiTheme="majorBidi" w:hAnsiTheme="majorBidi" w:cs="B Nazanin"/>
          <w:b w:val="0"/>
          <w:bCs w:val="0"/>
          <w:rtl/>
          <w:lang w:bidi="fa-IR"/>
        </w:rPr>
        <w:t>. ا</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ترک</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بات</w:t>
      </w:r>
      <w:r w:rsidRPr="002822FB">
        <w:rPr>
          <w:rFonts w:asciiTheme="majorBidi" w:hAnsiTheme="majorBidi" w:cs="B Nazanin"/>
          <w:b w:val="0"/>
          <w:bCs w:val="0"/>
          <w:rtl/>
          <w:lang w:bidi="fa-IR"/>
        </w:rPr>
        <w:t xml:space="preserve"> فلوروک</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نولون</w:t>
      </w:r>
      <w:r w:rsidRPr="002822FB">
        <w:rPr>
          <w:rFonts w:asciiTheme="majorBidi" w:hAnsiTheme="majorBidi" w:cs="B Nazanin"/>
          <w:b w:val="0"/>
          <w:bCs w:val="0"/>
          <w:rtl/>
          <w:lang w:bidi="fa-IR"/>
        </w:rPr>
        <w:t xml:space="preserve"> ها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تجار</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هستند که برا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مبارزه با عفونت ها</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باکتر</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ا</w:t>
      </w:r>
      <w:r w:rsidRPr="002822FB">
        <w:rPr>
          <w:rFonts w:asciiTheme="majorBidi" w:hAnsiTheme="majorBidi" w:cs="B Nazanin" w:hint="cs"/>
          <w:b w:val="0"/>
          <w:bCs w:val="0"/>
          <w:rtl/>
          <w:lang w:bidi="fa-IR"/>
        </w:rPr>
        <w:t>یی و بیمارستانی</w:t>
      </w:r>
      <w:r w:rsidRPr="002822FB">
        <w:rPr>
          <w:rFonts w:asciiTheme="majorBidi" w:hAnsiTheme="majorBidi" w:cs="B Nazanin"/>
          <w:b w:val="0"/>
          <w:bCs w:val="0"/>
          <w:rtl/>
          <w:lang w:bidi="fa-IR"/>
        </w:rPr>
        <w:t xml:space="preserve"> استفاده م</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شوند. </w:t>
      </w:r>
      <w:r w:rsidRPr="002822FB">
        <w:rPr>
          <w:rFonts w:asciiTheme="majorBidi" w:hAnsiTheme="majorBidi" w:cs="B Nazanin" w:hint="cs"/>
          <w:b w:val="0"/>
          <w:bCs w:val="0"/>
          <w:rtl/>
          <w:lang w:bidi="fa-IR"/>
        </w:rPr>
        <w:t xml:space="preserve">آنالیز های </w:t>
      </w:r>
      <w:r w:rsidRPr="002822FB">
        <w:rPr>
          <w:rFonts w:asciiTheme="majorBidi" w:hAnsiTheme="majorBidi" w:cs="B Nazanin"/>
          <w:b w:val="0"/>
          <w:bCs w:val="0"/>
          <w:rtl/>
          <w:lang w:bidi="fa-IR"/>
        </w:rPr>
        <w:t>ساختار</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(م</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انگ</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انحراف مربع ر</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شه</w:t>
      </w:r>
      <w:r w:rsidRPr="002822FB">
        <w:rPr>
          <w:rFonts w:asciiTheme="majorBidi" w:hAnsiTheme="majorBidi" w:cs="B Nazanin"/>
          <w:b w:val="0"/>
          <w:bCs w:val="0"/>
          <w:rtl/>
          <w:lang w:bidi="fa-IR"/>
        </w:rPr>
        <w:t xml:space="preserve"> و شعاع چرخش) و تجز</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ه</w:t>
      </w:r>
      <w:r w:rsidRPr="002822FB">
        <w:rPr>
          <w:rFonts w:asciiTheme="majorBidi" w:hAnsiTheme="majorBidi" w:cs="B Nazanin"/>
          <w:b w:val="0"/>
          <w:bCs w:val="0"/>
          <w:rtl/>
          <w:lang w:bidi="fa-IR"/>
        </w:rPr>
        <w:t xml:space="preserve"> و تحل</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ل</w:t>
      </w:r>
      <w:r w:rsidRPr="002822FB">
        <w:rPr>
          <w:rFonts w:asciiTheme="majorBidi" w:hAnsiTheme="majorBidi" w:cs="B Nazanin"/>
          <w:b w:val="0"/>
          <w:bCs w:val="0"/>
          <w:rtl/>
          <w:lang w:bidi="fa-IR"/>
        </w:rPr>
        <w:t xml:space="preserve"> ترمود</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نام</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ک</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(اتصال انرژ</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آزاد) نشان داد که اثر موکس</w:t>
      </w:r>
      <w:r w:rsidRPr="002822FB">
        <w:rPr>
          <w:rFonts w:asciiTheme="majorBidi" w:hAnsiTheme="majorBidi" w:cs="B Nazanin" w:hint="cs"/>
          <w:b w:val="0"/>
          <w:bCs w:val="0"/>
          <w:rtl/>
          <w:lang w:bidi="fa-IR"/>
        </w:rPr>
        <w:t xml:space="preserve">ی </w:t>
      </w:r>
      <w:r w:rsidRPr="002822FB">
        <w:rPr>
          <w:rFonts w:asciiTheme="majorBidi" w:hAnsiTheme="majorBidi" w:cs="B Nazanin" w:hint="eastAsia"/>
          <w:b w:val="0"/>
          <w:bCs w:val="0"/>
          <w:rtl/>
          <w:lang w:bidi="fa-IR"/>
        </w:rPr>
        <w:t>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در پا</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دار</w:t>
      </w:r>
      <w:r w:rsidRPr="002822FB">
        <w:rPr>
          <w:rFonts w:asciiTheme="majorBidi" w:hAnsiTheme="majorBidi" w:cs="B Nazanin" w:hint="cs"/>
          <w:b w:val="0"/>
          <w:bCs w:val="0"/>
          <w:rtl/>
          <w:lang w:bidi="fa-IR"/>
        </w:rPr>
        <w:t>ی</w:t>
      </w:r>
      <w:r w:rsidRPr="002822FB">
        <w:rPr>
          <w:rFonts w:asciiTheme="majorBidi" w:hAnsiTheme="majorBidi" w:cs="B Nazanin"/>
          <w:b w:val="0"/>
          <w:bCs w:val="0"/>
          <w:rtl/>
          <w:lang w:bidi="fa-IR"/>
        </w:rPr>
        <w:t xml:space="preserve"> هر دو نوع دلتا و لامبدا </w:t>
      </w:r>
      <w:r w:rsidRPr="002822FB">
        <w:rPr>
          <w:rFonts w:asciiTheme="majorBidi" w:hAnsiTheme="majorBidi" w:cs="B Nazanin"/>
          <w:b w:val="0"/>
          <w:bCs w:val="0"/>
          <w:lang w:bidi="fa-IR"/>
        </w:rPr>
        <w:t>SARS-CoV-2-RBD</w:t>
      </w:r>
      <w:r w:rsidRPr="002822FB">
        <w:rPr>
          <w:rFonts w:asciiTheme="majorBidi" w:hAnsiTheme="majorBidi" w:cs="B Nazanin"/>
          <w:b w:val="0"/>
          <w:bCs w:val="0"/>
          <w:rtl/>
          <w:lang w:bidi="fa-IR"/>
        </w:rPr>
        <w:t xml:space="preserve"> ب</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شتر</w:t>
      </w:r>
      <w:r w:rsidRPr="002822FB">
        <w:rPr>
          <w:rFonts w:asciiTheme="majorBidi" w:hAnsiTheme="majorBidi" w:cs="B Nazanin"/>
          <w:b w:val="0"/>
          <w:bCs w:val="0"/>
          <w:rtl/>
          <w:lang w:bidi="fa-IR"/>
        </w:rPr>
        <w:t xml:space="preserve"> از 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پروفلوکساس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است. همچن</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تجز</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ه</w:t>
      </w:r>
      <w:r w:rsidRPr="002822FB">
        <w:rPr>
          <w:rFonts w:asciiTheme="majorBidi" w:hAnsiTheme="majorBidi" w:cs="B Nazanin"/>
          <w:b w:val="0"/>
          <w:bCs w:val="0"/>
          <w:rtl/>
          <w:lang w:bidi="fa-IR"/>
        </w:rPr>
        <w:t xml:space="preserve"> و تحل</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ل</w:t>
      </w:r>
      <w:r w:rsidRPr="002822FB">
        <w:rPr>
          <w:rFonts w:asciiTheme="majorBidi" w:hAnsiTheme="majorBidi" w:cs="B Nazanin"/>
          <w:b w:val="0"/>
          <w:bCs w:val="0"/>
          <w:rtl/>
          <w:lang w:bidi="fa-IR"/>
        </w:rPr>
        <w:t xml:space="preserve"> </w:t>
      </w:r>
      <w:r w:rsidRPr="002822FB">
        <w:rPr>
          <w:rFonts w:asciiTheme="majorBidi" w:hAnsiTheme="majorBidi" w:cs="B Nazanin"/>
          <w:b w:val="0"/>
          <w:bCs w:val="0"/>
          <w:lang w:bidi="fa-IR"/>
        </w:rPr>
        <w:t>MM-PBSA</w:t>
      </w:r>
      <w:r w:rsidRPr="002822FB">
        <w:rPr>
          <w:rFonts w:asciiTheme="majorBidi" w:hAnsiTheme="majorBidi" w:cs="B Nazanin"/>
          <w:b w:val="0"/>
          <w:bCs w:val="0"/>
          <w:rtl/>
          <w:lang w:bidi="fa-IR"/>
        </w:rPr>
        <w:t xml:space="preserve"> نشان داد که </w:t>
      </w:r>
      <w:r w:rsidRPr="002822FB">
        <w:rPr>
          <w:rFonts w:asciiTheme="majorBidi" w:hAnsiTheme="majorBidi" w:cs="B Nazanin" w:hint="cs"/>
          <w:b w:val="0"/>
          <w:bCs w:val="0"/>
          <w:rtl/>
          <w:lang w:bidi="fa-IR"/>
        </w:rPr>
        <w:t>تمایل</w:t>
      </w:r>
      <w:r w:rsidRPr="002822FB">
        <w:rPr>
          <w:rFonts w:asciiTheme="majorBidi" w:hAnsiTheme="majorBidi" w:cs="B Nazanin"/>
          <w:b w:val="0"/>
          <w:bCs w:val="0"/>
          <w:rtl/>
          <w:lang w:bidi="fa-IR"/>
        </w:rPr>
        <w:t xml:space="preserve"> موکس</w:t>
      </w:r>
      <w:r w:rsidRPr="002822FB">
        <w:rPr>
          <w:rFonts w:asciiTheme="majorBidi" w:hAnsiTheme="majorBidi" w:cs="B Nazanin" w:hint="cs"/>
          <w:b w:val="0"/>
          <w:bCs w:val="0"/>
          <w:rtl/>
          <w:lang w:bidi="fa-IR"/>
        </w:rPr>
        <w:t xml:space="preserve">ی </w:t>
      </w:r>
      <w:r w:rsidRPr="002822FB">
        <w:rPr>
          <w:rFonts w:asciiTheme="majorBidi" w:hAnsiTheme="majorBidi" w:cs="B Nazanin" w:hint="eastAsia"/>
          <w:b w:val="0"/>
          <w:bCs w:val="0"/>
          <w:rtl/>
          <w:lang w:bidi="fa-IR"/>
        </w:rPr>
        <w:t>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به انواع دلتا و لامبدا </w:t>
      </w:r>
      <w:r w:rsidRPr="002822FB">
        <w:rPr>
          <w:rFonts w:asciiTheme="majorBidi" w:hAnsiTheme="majorBidi" w:cs="B Nazanin"/>
          <w:b w:val="0"/>
          <w:bCs w:val="0"/>
          <w:lang w:bidi="fa-IR"/>
        </w:rPr>
        <w:t>SARS-CoV-2-RBD</w:t>
      </w:r>
      <w:r w:rsidRPr="002822FB">
        <w:rPr>
          <w:rFonts w:asciiTheme="majorBidi" w:hAnsiTheme="majorBidi" w:cs="B Nazanin"/>
          <w:b w:val="0"/>
          <w:bCs w:val="0"/>
          <w:rtl/>
          <w:lang w:bidi="fa-IR"/>
        </w:rPr>
        <w:t xml:space="preserve"> ب</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شتر</w:t>
      </w:r>
      <w:r w:rsidRPr="002822FB">
        <w:rPr>
          <w:rFonts w:asciiTheme="majorBidi" w:hAnsiTheme="majorBidi" w:cs="B Nazanin"/>
          <w:b w:val="0"/>
          <w:bCs w:val="0"/>
          <w:rtl/>
          <w:lang w:bidi="fa-IR"/>
        </w:rPr>
        <w:t xml:space="preserve"> از 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پروفلوکساس</w:t>
      </w:r>
      <w:r w:rsidRPr="002822FB">
        <w:rPr>
          <w:rFonts w:asciiTheme="majorBidi" w:hAnsiTheme="majorBidi" w:cs="B Nazanin" w:hint="cs"/>
          <w:b w:val="0"/>
          <w:bCs w:val="0"/>
          <w:rtl/>
          <w:lang w:bidi="fa-IR"/>
        </w:rPr>
        <w:t>ی</w:t>
      </w:r>
      <w:r w:rsidRPr="002822FB">
        <w:rPr>
          <w:rFonts w:asciiTheme="majorBidi" w:hAnsiTheme="majorBidi" w:cs="B Nazanin" w:hint="eastAsia"/>
          <w:b w:val="0"/>
          <w:bCs w:val="0"/>
          <w:rtl/>
          <w:lang w:bidi="fa-IR"/>
        </w:rPr>
        <w:t>ن</w:t>
      </w:r>
      <w:r w:rsidRPr="002822FB">
        <w:rPr>
          <w:rFonts w:asciiTheme="majorBidi" w:hAnsiTheme="majorBidi" w:cs="B Nazanin"/>
          <w:b w:val="0"/>
          <w:bCs w:val="0"/>
          <w:rtl/>
          <w:lang w:bidi="fa-IR"/>
        </w:rPr>
        <w:t xml:space="preserve"> است.</w:t>
      </w:r>
    </w:p>
    <w:p w14:paraId="0759B75F" w14:textId="77777777" w:rsidR="00352904" w:rsidRPr="002822FB" w:rsidRDefault="00352904" w:rsidP="00352904">
      <w:pPr>
        <w:pStyle w:val="Abstract"/>
        <w:bidi/>
        <w:rPr>
          <w:rFonts w:cs="B Nazanin"/>
          <w:b w:val="0"/>
          <w:bCs w:val="0"/>
          <w:rtl/>
          <w:lang w:bidi="fa-IR"/>
        </w:rPr>
      </w:pPr>
    </w:p>
    <w:p w14:paraId="0E212152" w14:textId="17DC7362" w:rsidR="00253C8B" w:rsidRPr="002822FB" w:rsidRDefault="00352904" w:rsidP="00352904">
      <w:pPr>
        <w:tabs>
          <w:tab w:val="center" w:pos="253pt"/>
        </w:tabs>
        <w:bidi/>
        <w:rPr>
          <w:rtl/>
          <w:lang w:bidi="fa-IR"/>
        </w:rPr>
        <w:sectPr w:rsidR="00253C8B" w:rsidRPr="002822FB" w:rsidSect="005156EC">
          <w:type w:val="continuous"/>
          <w:pgSz w:w="595.30pt" w:h="841.90pt" w:code="9"/>
          <w:pgMar w:top="113.40pt" w:right="44.65pt" w:bottom="72pt" w:left="44.65pt" w:header="36pt" w:footer="36pt" w:gutter="0pt"/>
          <w:cols w:space="36pt"/>
          <w:docGrid w:linePitch="360"/>
        </w:sectPr>
      </w:pPr>
      <w:r w:rsidRPr="002822FB">
        <w:rPr>
          <w:rFonts w:cs="B Nazanin" w:hint="cs"/>
          <w:b/>
          <w:bCs/>
          <w:sz w:val="18"/>
          <w:szCs w:val="18"/>
          <w:rtl/>
        </w:rPr>
        <w:t>کلید واژگان:</w:t>
      </w:r>
      <w:r w:rsidRPr="002822FB">
        <w:rPr>
          <w:rFonts w:cs="B Nazanin" w:hint="cs"/>
          <w:sz w:val="18"/>
          <w:szCs w:val="18"/>
          <w:rtl/>
        </w:rPr>
        <w:t xml:space="preserve"> کووید-19، </w:t>
      </w:r>
      <w:r w:rsidRPr="002822FB">
        <w:rPr>
          <w:rFonts w:cs="B Nazanin"/>
          <w:sz w:val="18"/>
          <w:szCs w:val="18"/>
        </w:rPr>
        <w:t>SARS-CoV-2</w:t>
      </w:r>
      <w:r w:rsidRPr="002822FB">
        <w:rPr>
          <w:rFonts w:cs="B Nazanin" w:hint="cs"/>
          <w:sz w:val="18"/>
          <w:szCs w:val="18"/>
          <w:rtl/>
          <w:lang w:bidi="fa-IR"/>
        </w:rPr>
        <w:t xml:space="preserve">، پروتئین </w:t>
      </w:r>
      <w:r w:rsidRPr="002822FB">
        <w:rPr>
          <w:rFonts w:cs="B Nazanin"/>
          <w:sz w:val="18"/>
          <w:szCs w:val="18"/>
          <w:lang w:bidi="fa-IR"/>
        </w:rPr>
        <w:t>spike</w:t>
      </w:r>
      <w:r w:rsidRPr="002822FB">
        <w:rPr>
          <w:rFonts w:cs="B Nazanin" w:hint="cs"/>
          <w:sz w:val="18"/>
          <w:szCs w:val="18"/>
          <w:rtl/>
          <w:lang w:bidi="fa-IR"/>
        </w:rPr>
        <w:t>، شبیه سازی دینامیک مولکولی، موکسی فلوکساسین، سیپروفلوکساسین.</w:t>
      </w:r>
    </w:p>
    <w:p w14:paraId="2807EEA7" w14:textId="77777777" w:rsidR="009303D9" w:rsidRPr="002822FB" w:rsidRDefault="00BD670B">
      <w:pPr>
        <w:sectPr w:rsidR="009303D9" w:rsidRPr="002822FB" w:rsidSect="005156EC">
          <w:type w:val="continuous"/>
          <w:pgSz w:w="595.30pt" w:h="841.90pt" w:code="9"/>
          <w:pgMar w:top="113.40pt" w:right="44.65pt" w:bottom="72pt" w:left="44.65pt" w:header="36pt" w:footer="36pt" w:gutter="0pt"/>
          <w:cols w:num="3" w:space="36pt"/>
          <w:docGrid w:linePitch="360"/>
        </w:sectPr>
      </w:pPr>
      <w:r w:rsidRPr="002822FB">
        <w:lastRenderedPageBreak/>
        <w:br w:type="column"/>
      </w:r>
    </w:p>
    <w:p w14:paraId="535B486B" w14:textId="0FB35F5D" w:rsidR="009303D9" w:rsidRPr="002822FB" w:rsidRDefault="009303D9" w:rsidP="00D4236D">
      <w:pPr>
        <w:pStyle w:val="Heading1"/>
        <w:rPr>
          <w:smallCaps w:val="0"/>
          <w:rtl/>
        </w:rPr>
      </w:pPr>
      <w:r w:rsidRPr="002822FB">
        <w:rPr>
          <w:smallCaps w:val="0"/>
        </w:rPr>
        <w:lastRenderedPageBreak/>
        <w:t xml:space="preserve">Introduction </w:t>
      </w:r>
    </w:p>
    <w:p w14:paraId="6FF62336" w14:textId="77777777" w:rsidR="00590425" w:rsidRPr="002822FB" w:rsidRDefault="00590425" w:rsidP="00590425"/>
    <w:p w14:paraId="4F860651" w14:textId="3E95C44C" w:rsidR="00175E03" w:rsidRPr="002822FB" w:rsidRDefault="00175E03" w:rsidP="00175E03">
      <w:pPr>
        <w:jc w:val="both"/>
        <w:rPr>
          <w:rFonts w:asciiTheme="majorBidi" w:hAnsiTheme="majorBidi" w:cstheme="majorBidi"/>
        </w:rPr>
      </w:pPr>
      <w:r w:rsidRPr="002822FB">
        <w:rPr>
          <w:rFonts w:asciiTheme="majorBidi" w:hAnsiTheme="majorBidi" w:cstheme="majorBidi"/>
        </w:rPr>
        <w:t xml:space="preserve">       The novel corona virus disease (COVID-19) is spreading in the whole world causing deaths of 4,694,219 people till the 19th of September 2021 (https://www.worldometers.info/coronavirus). The World Health Organization (WHO) has already declared COVID-19 as a pandemic disease. Symptoms of this disease mainly include fever, cough, sore throat, runny nose and difficulty in breathing, digestive and systemic problems. The disease was initially originated from Wuhan (Hubei province), China and then expanded to all countries around the world [1]. Yet, no precise treatment (approved drug) has been endorsed against COVID-19 except a few tested drugs like chloroquine derivatives, </w:t>
      </w:r>
      <w:proofErr w:type="spellStart"/>
      <w:r w:rsidRPr="002822FB">
        <w:rPr>
          <w:rFonts w:asciiTheme="majorBidi" w:hAnsiTheme="majorBidi" w:cstheme="majorBidi"/>
        </w:rPr>
        <w:t>remdesivir</w:t>
      </w:r>
      <w:proofErr w:type="spellEnd"/>
      <w:r w:rsidRPr="002822FB">
        <w:rPr>
          <w:rFonts w:asciiTheme="majorBidi" w:hAnsiTheme="majorBidi" w:cstheme="majorBidi"/>
        </w:rPr>
        <w:t xml:space="preserve">, azithromycin, </w:t>
      </w:r>
      <w:proofErr w:type="spellStart"/>
      <w:r w:rsidRPr="002822FB">
        <w:rPr>
          <w:rFonts w:asciiTheme="majorBidi" w:hAnsiTheme="majorBidi" w:cstheme="majorBidi"/>
        </w:rPr>
        <w:t>favipiravir</w:t>
      </w:r>
      <w:proofErr w:type="spellEnd"/>
      <w:r w:rsidRPr="002822FB">
        <w:rPr>
          <w:rFonts w:asciiTheme="majorBidi" w:hAnsiTheme="majorBidi" w:cstheme="majorBidi"/>
        </w:rPr>
        <w:t>, etc. Thus, recently, many research groups are working for the development of promising medicines or drugs for the treatment of infection or symptoms and combat COVID-19.</w:t>
      </w:r>
    </w:p>
    <w:p w14:paraId="12987B0B" w14:textId="77777777" w:rsidR="00175E03" w:rsidRPr="002822FB" w:rsidRDefault="00175E03" w:rsidP="00175E03">
      <w:pPr>
        <w:jc w:val="both"/>
        <w:rPr>
          <w:rFonts w:asciiTheme="majorBidi" w:hAnsiTheme="majorBidi" w:cstheme="majorBidi"/>
        </w:rPr>
      </w:pPr>
    </w:p>
    <w:p w14:paraId="57516ADE" w14:textId="7EB509E4" w:rsidR="00175E03" w:rsidRPr="002822FB" w:rsidRDefault="00175E03" w:rsidP="00175E03">
      <w:pPr>
        <w:jc w:val="both"/>
        <w:rPr>
          <w:rFonts w:asciiTheme="majorBidi" w:hAnsiTheme="majorBidi" w:cstheme="majorBidi"/>
        </w:rPr>
      </w:pPr>
      <w:r w:rsidRPr="002822FB">
        <w:rPr>
          <w:rFonts w:asciiTheme="majorBidi" w:hAnsiTheme="majorBidi" w:cstheme="majorBidi"/>
        </w:rPr>
        <w:t xml:space="preserve">     Severe Acute Respiratory Syndrome Coronavirus 2 (SARS-CoV-2) is a single-stranded, positive-sense RNA virus belonging to the family of beta-coronavirus. The beta-coronavirus group also comprises the severe acute respiratory syndrome virus (SARS-</w:t>
      </w:r>
      <w:proofErr w:type="spellStart"/>
      <w:r w:rsidRPr="002822FB">
        <w:rPr>
          <w:rFonts w:asciiTheme="majorBidi" w:hAnsiTheme="majorBidi" w:cstheme="majorBidi"/>
        </w:rPr>
        <w:t>CoV</w:t>
      </w:r>
      <w:proofErr w:type="spellEnd"/>
      <w:r w:rsidRPr="002822FB">
        <w:rPr>
          <w:rFonts w:asciiTheme="majorBidi" w:hAnsiTheme="majorBidi" w:cstheme="majorBidi"/>
        </w:rPr>
        <w:t>) and the Middle East respiratory syndrome virus (MERS-</w:t>
      </w:r>
      <w:proofErr w:type="spellStart"/>
      <w:r w:rsidRPr="002822FB">
        <w:rPr>
          <w:rFonts w:asciiTheme="majorBidi" w:hAnsiTheme="majorBidi" w:cstheme="majorBidi"/>
        </w:rPr>
        <w:t>CoV</w:t>
      </w:r>
      <w:proofErr w:type="spellEnd"/>
      <w:r w:rsidRPr="002822FB">
        <w:rPr>
          <w:rFonts w:asciiTheme="majorBidi" w:hAnsiTheme="majorBidi" w:cstheme="majorBidi"/>
        </w:rPr>
        <w:t>). The genome of coronaviruses contains at least six open reading frames (ORFs). The first ORFs (ORF1a/b) directly translate two polyproteins: pp1a and pp1ab. These polyproteins are processed by virally encoded chymotrypsin-like protease (3CLpro) or main protease (</w:t>
      </w:r>
      <w:proofErr w:type="spellStart"/>
      <w:r w:rsidRPr="002822FB">
        <w:rPr>
          <w:rFonts w:asciiTheme="majorBidi" w:hAnsiTheme="majorBidi" w:cstheme="majorBidi"/>
        </w:rPr>
        <w:t>Mpro</w:t>
      </w:r>
      <w:proofErr w:type="spellEnd"/>
      <w:r w:rsidRPr="002822FB">
        <w:rPr>
          <w:rFonts w:asciiTheme="majorBidi" w:hAnsiTheme="majorBidi" w:cstheme="majorBidi"/>
        </w:rPr>
        <w:t>) and one or two papain-like protease (</w:t>
      </w:r>
      <w:proofErr w:type="spellStart"/>
      <w:r w:rsidRPr="002822FB">
        <w:rPr>
          <w:rFonts w:asciiTheme="majorBidi" w:hAnsiTheme="majorBidi" w:cstheme="majorBidi"/>
        </w:rPr>
        <w:t>PLpro</w:t>
      </w:r>
      <w:proofErr w:type="spellEnd"/>
      <w:r w:rsidRPr="002822FB">
        <w:rPr>
          <w:rFonts w:asciiTheme="majorBidi" w:hAnsiTheme="majorBidi" w:cstheme="majorBidi"/>
        </w:rPr>
        <w:t>) into 16 non-structural proteins (</w:t>
      </w:r>
      <w:proofErr w:type="spellStart"/>
      <w:r w:rsidRPr="002822FB">
        <w:rPr>
          <w:rFonts w:asciiTheme="majorBidi" w:hAnsiTheme="majorBidi" w:cstheme="majorBidi"/>
        </w:rPr>
        <w:t>nsps</w:t>
      </w:r>
      <w:proofErr w:type="spellEnd"/>
      <w:r w:rsidRPr="002822FB">
        <w:rPr>
          <w:rFonts w:asciiTheme="majorBidi" w:hAnsiTheme="majorBidi" w:cstheme="majorBidi"/>
        </w:rPr>
        <w:t xml:space="preserve">). Other ORFs, near the 3’-terminus, encode at least four main structural proteins: spike (S), membrane (M), envelope (E), and </w:t>
      </w:r>
      <w:proofErr w:type="spellStart"/>
      <w:r w:rsidRPr="002822FB">
        <w:rPr>
          <w:rFonts w:asciiTheme="majorBidi" w:hAnsiTheme="majorBidi" w:cstheme="majorBidi"/>
        </w:rPr>
        <w:t>nucleocapsid</w:t>
      </w:r>
      <w:proofErr w:type="spellEnd"/>
      <w:r w:rsidRPr="002822FB">
        <w:rPr>
          <w:rFonts w:asciiTheme="majorBidi" w:hAnsiTheme="majorBidi" w:cstheme="majorBidi"/>
        </w:rPr>
        <w:t xml:space="preserve"> (N) proteins. It has been established that this protein plays a vital role for attachment of viral entry in the host cell. Moreover, coronavirus spike protein enters into the host cell through angiotensin-converting-enzyme 2 (ACE2) receptors present on the lung epithelial cells and intestinal cells, causing lung disease and diarrhea. S1 and S2 receptor-binding domain (RBD) of the spike proteins attach to the ACE2, thus viral envelope attaches to the membrane and gets internalized. Another potential target in treating COVID-19, is the main protease enzyme considered a central enzyme in regulating viral replication and transcription [2]. Thus, spike protein of SARS-CoV-2 is considered a potential and logical therapeutic target.</w:t>
      </w:r>
    </w:p>
    <w:p w14:paraId="0249792D" w14:textId="77777777" w:rsidR="00175E03" w:rsidRPr="002822FB" w:rsidRDefault="00175E03" w:rsidP="00175E03">
      <w:pPr>
        <w:jc w:val="both"/>
        <w:rPr>
          <w:rFonts w:asciiTheme="majorBidi" w:hAnsiTheme="majorBidi" w:cstheme="majorBidi"/>
        </w:rPr>
      </w:pPr>
    </w:p>
    <w:p w14:paraId="697DAF9F" w14:textId="57BA64E0" w:rsidR="00175E03" w:rsidRPr="002822FB" w:rsidRDefault="00175E03" w:rsidP="00175E03">
      <w:pPr>
        <w:jc w:val="both"/>
        <w:rPr>
          <w:rFonts w:asciiTheme="majorBidi" w:hAnsiTheme="majorBidi" w:cstheme="majorBidi"/>
        </w:rPr>
      </w:pPr>
      <w:r w:rsidRPr="002822FB">
        <w:rPr>
          <w:rFonts w:asciiTheme="majorBidi" w:hAnsiTheme="majorBidi" w:cstheme="majorBidi"/>
        </w:rPr>
        <w:t xml:space="preserve">     Since the beginning of the COVID-19 pandemic in late 2019, SARS-CoV-2 has been evolving through the acquisition of genomic mutations, leading to the emergence of multiple specific variants of concern (VOCs) and variants of interest (VOIs). The US government’s SARS-CoV-2 Interagency Group (SIG) and the European Centre for Disease Prevention and Control (ECDC) regularly evaluate new evidence on variants discovered through epidemic intelligence, rules-based genomic variant screening, or other scientific sources on a regular basis. They classified SARS-CoV-2 variants into three categories: variants of interest (VOI), variants of concern (VOC), and variants of high consequence (VOHC). They defined VOI as a genetic variant associated with altered receptor binding, reduced neutralization by previous infection or vaccination antibodies, reduced treatment efficacy, potential diagnostic impact, or predicted increase in transmissibility or disease severity. This includes Theta (P.3), Kappa (B.1.617.1), Iota (B.1.526), and Lambda (C.37). VOC is a variant with evidence of increased transmissibility, more severe disease (e.g., more hospitalizations or deaths), a significant reduction in neutralization by antibodies produced during previous infection or vaccination, and reduced treatment effectiveness. This includes Alpha (B.1.1.7), Beta (B.1.351, B.1.351.2, B.1.351.3), and Delta (B.1.617.2, AY.1, to AY.12). Meanwhile, VOHC is a variant of high consequence for which there is clear evidence that preventive or medical countermeasures (MCMs) are significantly less effective than previously circulating variants. Mutations in the RBD of SARS-CoV-2 can help to enable strong affinity and binding capacity to human angiotensin-converting enzyme 2 (hACE2) receptor in host cells, leading to higher transmissibility. Therefore, investigation of SARS-CoV-2 spike protein variants seems crucial [3]. </w:t>
      </w:r>
    </w:p>
    <w:p w14:paraId="24BCC1B1" w14:textId="77777777" w:rsidR="00175E03" w:rsidRPr="002822FB" w:rsidRDefault="00175E03" w:rsidP="00175E03">
      <w:pPr>
        <w:jc w:val="both"/>
        <w:rPr>
          <w:rFonts w:asciiTheme="majorBidi" w:hAnsiTheme="majorBidi" w:cstheme="majorBidi"/>
        </w:rPr>
      </w:pPr>
    </w:p>
    <w:p w14:paraId="15C752F6" w14:textId="785F6562" w:rsidR="00175E03" w:rsidRPr="002822FB" w:rsidRDefault="00175E03" w:rsidP="00175E03">
      <w:pPr>
        <w:jc w:val="both"/>
        <w:rPr>
          <w:rFonts w:asciiTheme="majorBidi" w:hAnsiTheme="majorBidi" w:cstheme="majorBidi"/>
        </w:rPr>
      </w:pPr>
      <w:r w:rsidRPr="002822FB">
        <w:rPr>
          <w:rFonts w:asciiTheme="majorBidi" w:hAnsiTheme="majorBidi" w:cstheme="majorBidi"/>
        </w:rPr>
        <w:t xml:space="preserve">     The fluoroquinolone derivatives are FDA-approved drugs used as antibacterial agents in the treatment of respiratory and urinary tract infections and hospital-acquired infections. Some commercially available fluoroquinolones (e.g.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w:t>
      </w:r>
      <w:r w:rsidRPr="002822FB">
        <w:rPr>
          <w:rFonts w:asciiTheme="majorBidi" w:hAnsiTheme="majorBidi" w:cstheme="majorBidi"/>
          <w:b/>
          <w:bCs/>
        </w:rPr>
        <w:t xml:space="preserve"> </w:t>
      </w:r>
      <w:r w:rsidRPr="002822FB">
        <w:rPr>
          <w:rFonts w:asciiTheme="majorBidi" w:hAnsiTheme="majorBidi" w:cstheme="majorBidi"/>
        </w:rPr>
        <w:t xml:space="preserve">ciprofloxacin) used for the treatment of bacterial infections were shown to be active against other non-bacterial incidents. Fluoroquinolones may have antiviral (e.g. vaccinia virus, </w:t>
      </w:r>
      <w:proofErr w:type="spellStart"/>
      <w:r w:rsidRPr="002822FB">
        <w:rPr>
          <w:rFonts w:asciiTheme="majorBidi" w:hAnsiTheme="majorBidi" w:cstheme="majorBidi"/>
        </w:rPr>
        <w:t>papovavirus</w:t>
      </w:r>
      <w:proofErr w:type="spellEnd"/>
      <w:r w:rsidRPr="002822FB">
        <w:rPr>
          <w:rFonts w:asciiTheme="majorBidi" w:hAnsiTheme="majorBidi" w:cstheme="majorBidi"/>
        </w:rPr>
        <w:t xml:space="preserve">, human cytomegalovirus, herpes simplex virus types 1 and 2, hepatitis C virus), antifungal, and </w:t>
      </w:r>
      <w:proofErr w:type="spellStart"/>
      <w:r w:rsidRPr="002822FB">
        <w:rPr>
          <w:rFonts w:asciiTheme="majorBidi" w:hAnsiTheme="majorBidi" w:cstheme="majorBidi"/>
        </w:rPr>
        <w:t>antiparasitic</w:t>
      </w:r>
      <w:proofErr w:type="spellEnd"/>
      <w:r w:rsidRPr="002822FB">
        <w:rPr>
          <w:rFonts w:asciiTheme="majorBidi" w:hAnsiTheme="majorBidi" w:cstheme="majorBidi"/>
        </w:rPr>
        <w:t xml:space="preserve"> actions at the clinically achievable concentrations. This broad range of anti-infective activities is due to one common mode of action: the inhibition of type II topoisomerases or inhibition of viral helicases. Therefore, the respiratory </w:t>
      </w:r>
      <w:proofErr w:type="spellStart"/>
      <w:r w:rsidRPr="002822FB">
        <w:rPr>
          <w:rFonts w:asciiTheme="majorBidi" w:hAnsiTheme="majorBidi" w:cstheme="majorBidi"/>
        </w:rPr>
        <w:t>fuoroquinolones</w:t>
      </w:r>
      <w:proofErr w:type="spellEnd"/>
      <w:r w:rsidRPr="002822FB">
        <w:rPr>
          <w:rFonts w:asciiTheme="majorBidi" w:hAnsiTheme="majorBidi" w:cstheme="majorBidi"/>
        </w:rPr>
        <w:t xml:space="preserve"> could be considered as an adjunct treatment in COVID-19 [4].</w:t>
      </w:r>
    </w:p>
    <w:p w14:paraId="7EC168BE" w14:textId="77777777" w:rsidR="00175E03" w:rsidRPr="002822FB" w:rsidRDefault="00175E03" w:rsidP="00175E03">
      <w:pPr>
        <w:jc w:val="both"/>
        <w:rPr>
          <w:rFonts w:asciiTheme="majorBidi" w:hAnsiTheme="majorBidi" w:cstheme="majorBidi"/>
        </w:rPr>
      </w:pPr>
    </w:p>
    <w:p w14:paraId="0C80904A" w14:textId="55A0CCA3" w:rsidR="00175E03" w:rsidRPr="002822FB" w:rsidRDefault="00175E03" w:rsidP="00175E03">
      <w:pPr>
        <w:pStyle w:val="BodyText"/>
        <w:rPr>
          <w:rFonts w:asciiTheme="majorBidi" w:hAnsiTheme="majorBidi" w:cstheme="majorBidi"/>
        </w:rPr>
      </w:pPr>
      <w:r w:rsidRPr="002822FB">
        <w:rPr>
          <w:rFonts w:asciiTheme="majorBidi" w:hAnsiTheme="majorBidi" w:cstheme="majorBidi"/>
          <w:lang w:val="en-US"/>
        </w:rPr>
        <w:t xml:space="preserve"> </w:t>
      </w:r>
      <w:r w:rsidRPr="002822FB">
        <w:rPr>
          <w:rFonts w:asciiTheme="majorBidi" w:hAnsiTheme="majorBidi" w:cstheme="majorBidi"/>
        </w:rPr>
        <w:t xml:space="preserve">Recent advances in structural bioinformatics and virtual screening approaches have revolutionized the identification and/or repurposing of marketed drugs or bioactive compounds for effective treatment of various human diseases, including infectious diseases. Moreover, in </w:t>
      </w:r>
      <w:proofErr w:type="spellStart"/>
      <w:r w:rsidRPr="002822FB">
        <w:rPr>
          <w:rFonts w:asciiTheme="majorBidi" w:hAnsiTheme="majorBidi" w:cstheme="majorBidi"/>
        </w:rPr>
        <w:t>silico</w:t>
      </w:r>
      <w:proofErr w:type="spellEnd"/>
      <w:r w:rsidRPr="002822FB">
        <w:rPr>
          <w:rFonts w:asciiTheme="majorBidi" w:hAnsiTheme="majorBidi" w:cstheme="majorBidi"/>
        </w:rPr>
        <w:t xml:space="preserve"> approaches, including molecular docking and molecular dynamics (MD), have also been widely used to determine the conformational space of the investigated targets, ligands, and ligand-target complexes, and thus better understand the dynamic behavior of ligand-target complexes. Thus, the present study was focused to evaluate the potency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w:t>
      </w:r>
      <w:r w:rsidRPr="002822FB">
        <w:rPr>
          <w:rFonts w:asciiTheme="majorBidi" w:hAnsiTheme="majorBidi" w:cstheme="majorBidi"/>
          <w:b/>
          <w:bCs/>
        </w:rPr>
        <w:t xml:space="preserve"> </w:t>
      </w:r>
      <w:r w:rsidRPr="002822FB">
        <w:rPr>
          <w:rFonts w:asciiTheme="majorBidi" w:hAnsiTheme="majorBidi" w:cstheme="majorBidi"/>
        </w:rPr>
        <w:t>ciprofloxacin against delta and lambda variants of SARS-CoV-2 RBD using in-</w:t>
      </w:r>
      <w:proofErr w:type="spellStart"/>
      <w:r w:rsidRPr="002822FB">
        <w:rPr>
          <w:rFonts w:asciiTheme="majorBidi" w:hAnsiTheme="majorBidi" w:cstheme="majorBidi"/>
        </w:rPr>
        <w:t>silico</w:t>
      </w:r>
      <w:proofErr w:type="spellEnd"/>
      <w:r w:rsidRPr="002822FB">
        <w:rPr>
          <w:rFonts w:asciiTheme="majorBidi" w:hAnsiTheme="majorBidi" w:cstheme="majorBidi"/>
        </w:rPr>
        <w:t xml:space="preserve"> approach. To this aim, first, we have performed molecular docking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w:t>
      </w:r>
      <w:r w:rsidRPr="002822FB">
        <w:rPr>
          <w:rFonts w:asciiTheme="majorBidi" w:hAnsiTheme="majorBidi" w:cstheme="majorBidi"/>
          <w:b/>
          <w:bCs/>
        </w:rPr>
        <w:t xml:space="preserve"> </w:t>
      </w:r>
      <w:r w:rsidRPr="002822FB">
        <w:rPr>
          <w:rFonts w:asciiTheme="majorBidi" w:hAnsiTheme="majorBidi" w:cstheme="majorBidi"/>
        </w:rPr>
        <w:t xml:space="preserve">ciprofloxacin to delta and lambda variants of SARS-CoV-2 RBD. Then, the best docking pose was selected for doing molecular dynamics simulation to analyze the structural and thermodynamics properties. Lastly, the binding affinities (binding free energy)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w:t>
      </w:r>
      <w:r w:rsidRPr="002822FB">
        <w:rPr>
          <w:rFonts w:asciiTheme="majorBidi" w:hAnsiTheme="majorBidi" w:cstheme="majorBidi"/>
          <w:b/>
          <w:bCs/>
        </w:rPr>
        <w:t xml:space="preserve"> </w:t>
      </w:r>
      <w:r w:rsidRPr="002822FB">
        <w:rPr>
          <w:rFonts w:asciiTheme="majorBidi" w:hAnsiTheme="majorBidi" w:cstheme="majorBidi"/>
        </w:rPr>
        <w:t xml:space="preserve">ciprofloxacin were calculated. </w:t>
      </w:r>
    </w:p>
    <w:p w14:paraId="26CDE3A8" w14:textId="77777777" w:rsidR="00175E03" w:rsidRPr="002822FB" w:rsidRDefault="00175E03" w:rsidP="00175E03">
      <w:pPr>
        <w:pStyle w:val="BodyText"/>
        <w:rPr>
          <w:rFonts w:asciiTheme="majorBidi" w:hAnsiTheme="majorBidi" w:cstheme="majorBidi"/>
        </w:rPr>
      </w:pPr>
    </w:p>
    <w:p w14:paraId="20D95D19" w14:textId="7277A799" w:rsidR="009303D9" w:rsidRPr="002822FB" w:rsidRDefault="00175E03" w:rsidP="00175E03">
      <w:pPr>
        <w:pStyle w:val="Heading1"/>
        <w:rPr>
          <w:smallCaps w:val="0"/>
        </w:rPr>
      </w:pPr>
      <w:r w:rsidRPr="002822FB">
        <w:rPr>
          <w:smallCaps w:val="0"/>
        </w:rPr>
        <w:t>Material and methods</w:t>
      </w:r>
    </w:p>
    <w:p w14:paraId="17141D47" w14:textId="50E40932" w:rsidR="00175E03" w:rsidRPr="002822FB" w:rsidRDefault="00175E03" w:rsidP="00175E03">
      <w:pPr>
        <w:pStyle w:val="Abstract"/>
        <w:ind w:firstLine="0pt"/>
        <w:rPr>
          <w:b w:val="0"/>
          <w:bCs w:val="0"/>
          <w:sz w:val="20"/>
          <w:szCs w:val="20"/>
        </w:rPr>
      </w:pPr>
      <w:r w:rsidRPr="002822FB">
        <w:rPr>
          <w:b w:val="0"/>
          <w:bCs w:val="0"/>
          <w:sz w:val="20"/>
          <w:szCs w:val="20"/>
        </w:rPr>
        <w:t xml:space="preserve">     ADME properties for all compounds were predicted using the </w:t>
      </w:r>
      <w:proofErr w:type="spellStart"/>
      <w:r w:rsidRPr="002822FB">
        <w:rPr>
          <w:b w:val="0"/>
          <w:bCs w:val="0"/>
          <w:sz w:val="20"/>
          <w:szCs w:val="20"/>
        </w:rPr>
        <w:t>preADMET</w:t>
      </w:r>
      <w:proofErr w:type="spellEnd"/>
      <w:r w:rsidRPr="002822FB">
        <w:rPr>
          <w:b w:val="0"/>
          <w:bCs w:val="0"/>
          <w:sz w:val="20"/>
          <w:szCs w:val="20"/>
        </w:rPr>
        <w:t xml:space="preserve"> web server. The human intestinal absorption (HIA) analysis indicated that all compounds displayed good HIA, </w:t>
      </w:r>
      <w:r w:rsidRPr="002822FB">
        <w:rPr>
          <w:rFonts w:asciiTheme="majorBidi" w:hAnsiTheme="majorBidi" w:cstheme="majorBidi"/>
          <w:b w:val="0"/>
          <w:bCs w:val="0"/>
          <w:sz w:val="20"/>
          <w:szCs w:val="20"/>
        </w:rPr>
        <w:t>more than 80%</w:t>
      </w:r>
      <w:r w:rsidRPr="002822FB">
        <w:rPr>
          <w:b w:val="0"/>
          <w:bCs w:val="0"/>
          <w:sz w:val="20"/>
          <w:szCs w:val="20"/>
        </w:rPr>
        <w:t xml:space="preserve">, which causes quick absorption from the intestine to the blood stream. Also, </w:t>
      </w:r>
      <w:proofErr w:type="spellStart"/>
      <w:r w:rsidRPr="002822FB">
        <w:rPr>
          <w:b w:val="0"/>
          <w:bCs w:val="0"/>
          <w:sz w:val="20"/>
          <w:szCs w:val="20"/>
        </w:rPr>
        <w:t>moxifloxacin</w:t>
      </w:r>
      <w:proofErr w:type="spellEnd"/>
      <w:r w:rsidRPr="002822FB">
        <w:rPr>
          <w:b w:val="0"/>
          <w:bCs w:val="0"/>
          <w:sz w:val="20"/>
          <w:szCs w:val="20"/>
        </w:rPr>
        <w:t xml:space="preserve"> has useful skin penetration compared to ciprofloxacin. </w:t>
      </w:r>
    </w:p>
    <w:p w14:paraId="79B3D806" w14:textId="11A36D9D" w:rsidR="00175E03" w:rsidRPr="002822FB" w:rsidRDefault="00175E03" w:rsidP="00175E03">
      <w:pPr>
        <w:keepNext/>
        <w:jc w:val="both"/>
        <w:rPr>
          <w:rFonts w:asciiTheme="majorBidi" w:hAnsiTheme="majorBidi" w:cstheme="majorBidi"/>
        </w:rPr>
      </w:pPr>
      <w:r w:rsidRPr="002822FB">
        <w:rPr>
          <w:rFonts w:asciiTheme="majorBidi" w:hAnsiTheme="majorBidi" w:cstheme="majorBidi"/>
        </w:rPr>
        <w:t xml:space="preserve">     </w:t>
      </w:r>
      <w:proofErr w:type="spellStart"/>
      <w:r w:rsidRPr="002822FB">
        <w:rPr>
          <w:rFonts w:asciiTheme="majorBidi" w:hAnsiTheme="majorBidi" w:cstheme="majorBidi"/>
        </w:rPr>
        <w:t>AutoDock</w:t>
      </w:r>
      <w:proofErr w:type="spellEnd"/>
      <w:r w:rsidRPr="002822FB">
        <w:rPr>
          <w:rFonts w:asciiTheme="majorBidi" w:hAnsiTheme="majorBidi" w:cstheme="majorBidi"/>
        </w:rPr>
        <w:t xml:space="preserve"> </w:t>
      </w:r>
      <w:proofErr w:type="spellStart"/>
      <w:r w:rsidRPr="002822FB">
        <w:rPr>
          <w:rFonts w:asciiTheme="majorBidi" w:hAnsiTheme="majorBidi" w:cstheme="majorBidi"/>
        </w:rPr>
        <w:t>Vina</w:t>
      </w:r>
      <w:proofErr w:type="spellEnd"/>
      <w:r w:rsidRPr="002822FB">
        <w:rPr>
          <w:rFonts w:asciiTheme="majorBidi" w:hAnsiTheme="majorBidi" w:cstheme="majorBidi"/>
        </w:rPr>
        <w:t xml:space="preserve"> 1.1.2 program [5] was used for docking studies for obtaining information about binding modes of the of the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 ciprofloxacin in RBD of SARS-CoV-2 spike protein. The chemical structure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 ciprofloxacin compounds (ligand molecules) was obtained from PubChem database. The initial coordinates of the SARS-CoV-2 RBD were taken from RCSB Protein Data Bank (PDB ID: 6M0J, 2.45 Å resolution). The reasons for this selection are the high resolution of the crystal structure. Besides, the spike protein structure in this PDB file belongs to the homo sapiens organism. </w:t>
      </w:r>
    </w:p>
    <w:p w14:paraId="256D9F98" w14:textId="77777777" w:rsidR="00175E03" w:rsidRPr="002822FB" w:rsidRDefault="00175E03" w:rsidP="00175E03">
      <w:pPr>
        <w:keepNext/>
        <w:jc w:val="both"/>
        <w:rPr>
          <w:rFonts w:asciiTheme="majorBidi" w:hAnsiTheme="majorBidi" w:cstheme="majorBidi"/>
        </w:rPr>
      </w:pPr>
    </w:p>
    <w:p w14:paraId="037356F8" w14:textId="396ECE8F" w:rsidR="00175E03" w:rsidRPr="002822FB" w:rsidRDefault="00175E03" w:rsidP="00175E03">
      <w:pPr>
        <w:keepNext/>
        <w:jc w:val="both"/>
        <w:rPr>
          <w:rFonts w:asciiTheme="majorBidi" w:hAnsiTheme="majorBidi" w:cstheme="majorBidi"/>
          <w:lang w:bidi="fa-IR"/>
        </w:rPr>
      </w:pPr>
      <w:r w:rsidRPr="002822FB">
        <w:rPr>
          <w:rFonts w:asciiTheme="majorBidi" w:hAnsiTheme="majorBidi" w:cstheme="majorBidi"/>
        </w:rPr>
        <w:t xml:space="preserve">     The PDB format of the ligands were converted to PDBQT by using </w:t>
      </w:r>
      <w:proofErr w:type="spellStart"/>
      <w:r w:rsidRPr="002822FB">
        <w:rPr>
          <w:rFonts w:asciiTheme="majorBidi" w:hAnsiTheme="majorBidi" w:cstheme="majorBidi"/>
        </w:rPr>
        <w:t>AutoDock</w:t>
      </w:r>
      <w:proofErr w:type="spellEnd"/>
      <w:r w:rsidRPr="002822FB">
        <w:rPr>
          <w:rFonts w:asciiTheme="majorBidi" w:hAnsiTheme="majorBidi" w:cstheme="majorBidi"/>
        </w:rPr>
        <w:t xml:space="preserve"> Tools 1.5.6. The polar hydrogens and </w:t>
      </w:r>
      <w:proofErr w:type="spellStart"/>
      <w:r w:rsidRPr="002822FB">
        <w:rPr>
          <w:rFonts w:asciiTheme="majorBidi" w:hAnsiTheme="majorBidi" w:cstheme="majorBidi"/>
        </w:rPr>
        <w:t>Kollman</w:t>
      </w:r>
      <w:proofErr w:type="spellEnd"/>
      <w:r w:rsidRPr="002822FB">
        <w:rPr>
          <w:rFonts w:asciiTheme="majorBidi" w:hAnsiTheme="majorBidi" w:cstheme="majorBidi"/>
        </w:rPr>
        <w:t xml:space="preserve"> united atom partial charge were considered for protein. Also, </w:t>
      </w:r>
      <w:proofErr w:type="spellStart"/>
      <w:r w:rsidRPr="002822FB">
        <w:rPr>
          <w:rFonts w:asciiTheme="majorBidi" w:hAnsiTheme="majorBidi" w:cstheme="majorBidi"/>
        </w:rPr>
        <w:t>Gasteiger</w:t>
      </w:r>
      <w:proofErr w:type="spellEnd"/>
      <w:r w:rsidRPr="002822FB">
        <w:rPr>
          <w:rFonts w:asciiTheme="majorBidi" w:hAnsiTheme="majorBidi" w:cstheme="majorBidi"/>
        </w:rPr>
        <w:t xml:space="preserve"> charges were assigned to the ligand molecules, and rotatable bonds were identified. Then, a grid box of 24-24-24 points with a grid spacing value of 1 Å around the active site of the protein was constructed. Finally, the best binding mode of the ligands in the RBD of SARS-CoV-2 spike protein was defined based on the estimated binding energies. As well, </w:t>
      </w:r>
      <w:proofErr w:type="spellStart"/>
      <w:r w:rsidRPr="002822FB">
        <w:rPr>
          <w:rFonts w:asciiTheme="majorBidi" w:hAnsiTheme="majorBidi" w:cstheme="majorBidi"/>
        </w:rPr>
        <w:t>Pymol</w:t>
      </w:r>
      <w:proofErr w:type="spellEnd"/>
      <w:r w:rsidRPr="002822FB">
        <w:rPr>
          <w:rFonts w:asciiTheme="majorBidi" w:hAnsiTheme="majorBidi" w:cstheme="majorBidi"/>
        </w:rPr>
        <w:t xml:space="preserve"> (The </w:t>
      </w:r>
      <w:proofErr w:type="spellStart"/>
      <w:r w:rsidRPr="002822FB">
        <w:rPr>
          <w:rFonts w:asciiTheme="majorBidi" w:hAnsiTheme="majorBidi" w:cstheme="majorBidi"/>
        </w:rPr>
        <w:t>PyMOL</w:t>
      </w:r>
      <w:proofErr w:type="spellEnd"/>
      <w:r w:rsidRPr="002822FB">
        <w:rPr>
          <w:rFonts w:asciiTheme="majorBidi" w:hAnsiTheme="majorBidi" w:cstheme="majorBidi"/>
        </w:rPr>
        <w:t xml:space="preserve"> Molecular Graphics System, Version 1.2r3pre, Schrödinger, LLC.) [6] was used to visualize the docking outputs. </w:t>
      </w:r>
      <w:r w:rsidRPr="002822FB">
        <w:rPr>
          <w:rFonts w:asciiTheme="majorBidi" w:hAnsiTheme="majorBidi" w:cstheme="majorBidi"/>
          <w:lang w:bidi="fa-IR"/>
        </w:rPr>
        <w:t xml:space="preserve">The best docking outputs (protein-ligand complex) were selected as input for MD simulation. In this study, MD simulation </w:t>
      </w:r>
      <w:proofErr w:type="spellStart"/>
      <w:r w:rsidRPr="002822FB">
        <w:rPr>
          <w:rFonts w:asciiTheme="majorBidi" w:hAnsiTheme="majorBidi" w:cstheme="majorBidi"/>
          <w:lang w:bidi="fa-IR"/>
        </w:rPr>
        <w:t>f</w:t>
      </w:r>
      <w:proofErr w:type="spellEnd"/>
      <w:r w:rsidRPr="002822FB">
        <w:rPr>
          <w:rFonts w:asciiTheme="majorBidi" w:hAnsiTheme="majorBidi" w:cstheme="majorBidi"/>
          <w:lang w:bidi="fa-IR"/>
        </w:rPr>
        <w:t xml:space="preserve"> the of delta variant </w:t>
      </w:r>
      <w:r w:rsidRPr="002822FB">
        <w:rPr>
          <w:rFonts w:asciiTheme="majorBidi" w:hAnsiTheme="majorBidi" w:cstheme="majorBidi"/>
        </w:rPr>
        <w:t>SARS-CoV-2 RBD-</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w:t>
      </w:r>
      <w:proofErr w:type="spellStart"/>
      <w:r w:rsidRPr="002822FB">
        <w:rPr>
          <w:rFonts w:asciiTheme="majorBidi" w:hAnsiTheme="majorBidi" w:cstheme="majorBidi"/>
        </w:rPr>
        <w:t>dlt-mxf</w:t>
      </w:r>
      <w:proofErr w:type="spellEnd"/>
      <w:r w:rsidRPr="002822FB">
        <w:rPr>
          <w:rFonts w:asciiTheme="majorBidi" w:hAnsiTheme="majorBidi" w:cstheme="majorBidi"/>
        </w:rPr>
        <w:t>), delt</w:t>
      </w:r>
      <w:r w:rsidRPr="002822FB">
        <w:rPr>
          <w:rFonts w:asciiTheme="majorBidi" w:hAnsiTheme="majorBidi" w:cstheme="majorBidi"/>
          <w:lang w:bidi="fa-IR"/>
        </w:rPr>
        <w:t xml:space="preserve">a variant </w:t>
      </w:r>
      <w:r w:rsidRPr="002822FB">
        <w:rPr>
          <w:rFonts w:asciiTheme="majorBidi" w:hAnsiTheme="majorBidi" w:cstheme="majorBidi"/>
        </w:rPr>
        <w:t>SARS-CoV-2 RBD -ciprofloxacin (</w:t>
      </w:r>
      <w:proofErr w:type="spellStart"/>
      <w:r w:rsidRPr="002822FB">
        <w:rPr>
          <w:rFonts w:asciiTheme="majorBidi" w:hAnsiTheme="majorBidi" w:cstheme="majorBidi"/>
        </w:rPr>
        <w:t>dlt-cpf</w:t>
      </w:r>
      <w:proofErr w:type="spellEnd"/>
      <w:r w:rsidRPr="002822FB">
        <w:rPr>
          <w:rFonts w:asciiTheme="majorBidi" w:hAnsiTheme="majorBidi" w:cstheme="majorBidi"/>
        </w:rPr>
        <w:t xml:space="preserve">), </w:t>
      </w:r>
      <w:r w:rsidRPr="002822FB">
        <w:rPr>
          <w:rFonts w:asciiTheme="majorBidi" w:hAnsiTheme="majorBidi" w:cstheme="majorBidi"/>
          <w:lang w:bidi="fa-IR"/>
        </w:rPr>
        <w:t xml:space="preserve">lambda variant </w:t>
      </w:r>
      <w:r w:rsidRPr="002822FB">
        <w:rPr>
          <w:rFonts w:asciiTheme="majorBidi" w:hAnsiTheme="majorBidi" w:cstheme="majorBidi"/>
        </w:rPr>
        <w:t>SARS-CoV-2 RBD-</w:t>
      </w:r>
      <w:proofErr w:type="spellStart"/>
      <w:r w:rsidRPr="002822FB">
        <w:rPr>
          <w:rFonts w:asciiTheme="majorBidi" w:hAnsiTheme="majorBidi" w:cstheme="majorBidi"/>
        </w:rPr>
        <w:t>coxifloxacin</w:t>
      </w:r>
      <w:proofErr w:type="spellEnd"/>
      <w:r w:rsidRPr="002822FB">
        <w:rPr>
          <w:rFonts w:asciiTheme="majorBidi" w:hAnsiTheme="majorBidi" w:cstheme="majorBidi"/>
        </w:rPr>
        <w:t xml:space="preserve"> (</w:t>
      </w:r>
      <w:proofErr w:type="spellStart"/>
      <w:r w:rsidRPr="002822FB">
        <w:rPr>
          <w:rFonts w:asciiTheme="majorBidi" w:hAnsiTheme="majorBidi" w:cstheme="majorBidi"/>
        </w:rPr>
        <w:t>lmb-mxf</w:t>
      </w:r>
      <w:proofErr w:type="spellEnd"/>
      <w:r w:rsidRPr="002822FB">
        <w:rPr>
          <w:rFonts w:asciiTheme="majorBidi" w:hAnsiTheme="majorBidi" w:cstheme="majorBidi"/>
        </w:rPr>
        <w:t xml:space="preserve">) and </w:t>
      </w:r>
      <w:r w:rsidRPr="002822FB">
        <w:rPr>
          <w:rFonts w:asciiTheme="majorBidi" w:hAnsiTheme="majorBidi" w:cstheme="majorBidi"/>
          <w:lang w:bidi="fa-IR"/>
        </w:rPr>
        <w:t xml:space="preserve">lambda variant </w:t>
      </w:r>
      <w:r w:rsidRPr="002822FB">
        <w:rPr>
          <w:rFonts w:asciiTheme="majorBidi" w:hAnsiTheme="majorBidi" w:cstheme="majorBidi"/>
        </w:rPr>
        <w:t>SARS-CoV-2 RBD-ciprofloxacin (</w:t>
      </w:r>
      <w:proofErr w:type="spellStart"/>
      <w:r w:rsidRPr="002822FB">
        <w:rPr>
          <w:rFonts w:asciiTheme="majorBidi" w:hAnsiTheme="majorBidi" w:cstheme="majorBidi"/>
        </w:rPr>
        <w:t>lmb-cpf</w:t>
      </w:r>
      <w:proofErr w:type="spellEnd"/>
      <w:r w:rsidRPr="002822FB">
        <w:rPr>
          <w:rFonts w:asciiTheme="majorBidi" w:hAnsiTheme="majorBidi" w:cstheme="majorBidi"/>
        </w:rPr>
        <w:t xml:space="preserve">) complexes </w:t>
      </w:r>
      <w:r w:rsidRPr="002822FB">
        <w:rPr>
          <w:rFonts w:asciiTheme="majorBidi" w:hAnsiTheme="majorBidi" w:cstheme="majorBidi"/>
          <w:lang w:bidi="fa-IR"/>
        </w:rPr>
        <w:t xml:space="preserve">was performed (4 MD simulations). </w:t>
      </w:r>
    </w:p>
    <w:p w14:paraId="2E1741C7" w14:textId="77777777" w:rsidR="00175E03" w:rsidRPr="002822FB" w:rsidRDefault="00175E03" w:rsidP="00175E03">
      <w:pPr>
        <w:keepNext/>
        <w:jc w:val="both"/>
        <w:rPr>
          <w:rFonts w:asciiTheme="majorBidi" w:hAnsiTheme="majorBidi" w:cstheme="majorBidi"/>
          <w:lang w:bidi="fa-IR"/>
        </w:rPr>
      </w:pPr>
    </w:p>
    <w:p w14:paraId="7ADC1413" w14:textId="5B2D16AC" w:rsidR="00175E03" w:rsidRDefault="00175E03" w:rsidP="00175E03">
      <w:pPr>
        <w:autoSpaceDE w:val="0"/>
        <w:autoSpaceDN w:val="0"/>
        <w:adjustRightInd w:val="0"/>
        <w:jc w:val="both"/>
        <w:rPr>
          <w:rFonts w:asciiTheme="majorBidi" w:hAnsiTheme="majorBidi" w:cstheme="majorBidi"/>
          <w:lang w:bidi="fa-IR"/>
        </w:rPr>
      </w:pPr>
      <w:r w:rsidRPr="002822FB">
        <w:rPr>
          <w:rFonts w:asciiTheme="majorBidi" w:hAnsiTheme="majorBidi" w:cstheme="majorBidi"/>
        </w:rPr>
        <w:t xml:space="preserve">     All MD simulations were carried out using the </w:t>
      </w:r>
      <w:proofErr w:type="spellStart"/>
      <w:r w:rsidRPr="002822FB">
        <w:rPr>
          <w:rFonts w:asciiTheme="majorBidi" w:hAnsiTheme="majorBidi" w:cstheme="majorBidi"/>
        </w:rPr>
        <w:t>Gromacs</w:t>
      </w:r>
      <w:proofErr w:type="spellEnd"/>
      <w:r w:rsidRPr="002822FB">
        <w:rPr>
          <w:rFonts w:asciiTheme="majorBidi" w:hAnsiTheme="majorBidi" w:cstheme="majorBidi"/>
        </w:rPr>
        <w:t xml:space="preserve"> 2019 [7] with the Amber 99SB-ILDN force field [8] for the protein and the gaff force field for the ligands. Antechamber module from the </w:t>
      </w:r>
      <w:proofErr w:type="spellStart"/>
      <w:r w:rsidRPr="002822FB">
        <w:rPr>
          <w:rFonts w:asciiTheme="majorBidi" w:hAnsiTheme="majorBidi" w:cstheme="majorBidi"/>
        </w:rPr>
        <w:t>AmberTools</w:t>
      </w:r>
      <w:proofErr w:type="spellEnd"/>
      <w:r w:rsidRPr="002822FB">
        <w:rPr>
          <w:rFonts w:asciiTheme="majorBidi" w:hAnsiTheme="majorBidi" w:cstheme="majorBidi"/>
        </w:rPr>
        <w:t xml:space="preserve"> 14 suite [9] was used and AM1-BCC charges were assigned to the ligands molecules. All complexes were placed in a periodic rectangular box then </w:t>
      </w:r>
      <w:r w:rsidRPr="002822FB">
        <w:rPr>
          <w:rFonts w:asciiTheme="majorBidi" w:eastAsia="Calibri" w:hAnsiTheme="majorBidi" w:cstheme="majorBidi"/>
        </w:rPr>
        <w:t xml:space="preserve">filled with </w:t>
      </w:r>
      <w:r w:rsidRPr="002822FB">
        <w:rPr>
          <w:rFonts w:asciiTheme="majorBidi" w:hAnsiTheme="majorBidi" w:cstheme="majorBidi"/>
        </w:rPr>
        <w:t xml:space="preserve">TIP3P water molecules. The </w:t>
      </w:r>
      <w:r w:rsidRPr="002822FB">
        <w:rPr>
          <w:rFonts w:asciiTheme="majorBidi" w:hAnsiTheme="majorBidi" w:cstheme="majorBidi"/>
          <w:noProof/>
        </w:rPr>
        <w:t>counterions</w:t>
      </w:r>
      <w:r w:rsidRPr="002822FB">
        <w:rPr>
          <w:rFonts w:asciiTheme="majorBidi" w:hAnsiTheme="majorBidi" w:cstheme="majorBidi"/>
        </w:rPr>
        <w:t xml:space="preserve"> were added to maintain the </w:t>
      </w:r>
      <w:proofErr w:type="spellStart"/>
      <w:r w:rsidRPr="002822FB">
        <w:rPr>
          <w:rFonts w:asciiTheme="majorBidi" w:hAnsiTheme="majorBidi" w:cstheme="majorBidi"/>
        </w:rPr>
        <w:t>electroneutrality</w:t>
      </w:r>
      <w:proofErr w:type="spellEnd"/>
      <w:r w:rsidRPr="002822FB">
        <w:rPr>
          <w:rFonts w:asciiTheme="majorBidi" w:hAnsiTheme="majorBidi" w:cstheme="majorBidi"/>
        </w:rPr>
        <w:t xml:space="preserve"> of the systems. To </w:t>
      </w:r>
      <w:r w:rsidRPr="002822FB">
        <w:rPr>
          <w:rFonts w:asciiTheme="majorBidi" w:hAnsiTheme="majorBidi" w:cstheme="majorBidi"/>
          <w:noProof/>
        </w:rPr>
        <w:t>treat</w:t>
      </w:r>
      <w:r w:rsidRPr="002822FB">
        <w:rPr>
          <w:rFonts w:asciiTheme="majorBidi" w:hAnsiTheme="majorBidi" w:cstheme="majorBidi"/>
        </w:rPr>
        <w:t xml:space="preserve"> the long-range electrostatic interactions, the Particle Mesh Ewald (PME) method was applied. </w:t>
      </w:r>
      <w:r w:rsidRPr="002822FB">
        <w:rPr>
          <w:rStyle w:val="apple-style-span"/>
          <w:rFonts w:asciiTheme="majorBidi" w:hAnsiTheme="majorBidi" w:cstheme="majorBidi"/>
        </w:rPr>
        <w:t>Periodic boundary conditions (PBC) in all three directions and t</w:t>
      </w:r>
      <w:r w:rsidRPr="002822FB">
        <w:rPr>
          <w:rFonts w:asciiTheme="majorBidi" w:hAnsiTheme="majorBidi" w:cstheme="majorBidi"/>
        </w:rPr>
        <w:t xml:space="preserve">he cutoff distance value of 10 Å for non-bonded interactions </w:t>
      </w:r>
      <w:r w:rsidRPr="002822FB">
        <w:rPr>
          <w:rStyle w:val="apple-style-span"/>
          <w:rFonts w:asciiTheme="majorBidi" w:hAnsiTheme="majorBidi" w:cstheme="majorBidi"/>
        </w:rPr>
        <w:t xml:space="preserve">were used. </w:t>
      </w:r>
      <w:r w:rsidRPr="002822FB">
        <w:rPr>
          <w:rFonts w:asciiTheme="majorBidi" w:hAnsiTheme="majorBidi" w:cstheme="majorBidi"/>
        </w:rPr>
        <w:t xml:space="preserve">To constrain all bonds involving hydrogen atoms, LINCS algorithm was applied. </w:t>
      </w:r>
      <w:r w:rsidRPr="002822FB">
        <w:rPr>
          <w:rStyle w:val="apple-style-span"/>
          <w:rFonts w:asciiTheme="majorBidi" w:hAnsiTheme="majorBidi" w:cstheme="majorBidi"/>
        </w:rPr>
        <w:t xml:space="preserve">After initial preparation, </w:t>
      </w:r>
      <w:r w:rsidRPr="002822FB">
        <w:rPr>
          <w:rFonts w:asciiTheme="majorBidi" w:hAnsiTheme="majorBidi" w:cstheme="majorBidi"/>
        </w:rPr>
        <w:t>to remove bad contacts, energy minimization was carried out using two methods (steepest descent and conjugate gradient, 30000 steps each). In both of energy minimization steps, position restraints of 1000 kJ mol</w:t>
      </w:r>
      <w:r w:rsidRPr="002822FB">
        <w:rPr>
          <w:rFonts w:asciiTheme="majorBidi" w:hAnsiTheme="majorBidi" w:cstheme="majorBidi"/>
          <w:vertAlign w:val="superscript"/>
        </w:rPr>
        <w:t>-1</w:t>
      </w:r>
      <w:r w:rsidRPr="002822FB">
        <w:rPr>
          <w:rFonts w:asciiTheme="majorBidi" w:hAnsiTheme="majorBidi" w:cstheme="majorBidi"/>
        </w:rPr>
        <w:t xml:space="preserve"> nm</w:t>
      </w:r>
      <w:r w:rsidRPr="002822FB">
        <w:rPr>
          <w:rFonts w:asciiTheme="majorBidi" w:hAnsiTheme="majorBidi" w:cstheme="majorBidi"/>
          <w:vertAlign w:val="superscript"/>
        </w:rPr>
        <w:t>-2</w:t>
      </w:r>
      <w:r w:rsidRPr="002822FB">
        <w:rPr>
          <w:rFonts w:asciiTheme="majorBidi" w:hAnsiTheme="majorBidi" w:cstheme="majorBidi"/>
        </w:rPr>
        <w:t xml:space="preserve"> on all atoms of the enzyme and ligands were considered.</w:t>
      </w:r>
      <w:r w:rsidRPr="002822FB">
        <w:rPr>
          <w:rFonts w:asciiTheme="majorBidi" w:hAnsiTheme="majorBidi" w:cstheme="majorBidi" w:hint="cs"/>
          <w:rtl/>
          <w:lang w:bidi="fa-IR"/>
        </w:rPr>
        <w:t xml:space="preserve"> </w:t>
      </w:r>
      <w:r w:rsidRPr="002822FB">
        <w:rPr>
          <w:rFonts w:asciiTheme="majorBidi" w:hAnsiTheme="majorBidi" w:cstheme="majorBidi"/>
          <w:noProof/>
        </w:rPr>
        <w:t>Afterward</w:t>
      </w:r>
      <w:r w:rsidRPr="002822FB">
        <w:rPr>
          <w:rFonts w:asciiTheme="majorBidi" w:hAnsiTheme="majorBidi" w:cstheme="majorBidi"/>
        </w:rPr>
        <w:t xml:space="preserve">, two 500 </w:t>
      </w:r>
      <w:proofErr w:type="spellStart"/>
      <w:r w:rsidRPr="002822FB">
        <w:rPr>
          <w:rFonts w:asciiTheme="majorBidi" w:hAnsiTheme="majorBidi" w:cstheme="majorBidi"/>
        </w:rPr>
        <w:t>ps</w:t>
      </w:r>
      <w:proofErr w:type="spellEnd"/>
      <w:r w:rsidRPr="002822FB">
        <w:rPr>
          <w:rFonts w:asciiTheme="majorBidi" w:hAnsiTheme="majorBidi" w:cstheme="majorBidi"/>
        </w:rPr>
        <w:t xml:space="preserve"> equilibration steps, without position restraint, were carried out at NVT and NPT ensembles at 300 K and 1 atm. Finally, a production run was carried out for 60 ns under conditions of constant temperature and pressure. The time-step for all MD simulations was set to 2 fs. To keep the temperature and pressure constant during the simulations steps, V-rescale thermostat and </w:t>
      </w:r>
      <w:proofErr w:type="spellStart"/>
      <w:r w:rsidRPr="002822FB">
        <w:rPr>
          <w:rFonts w:asciiTheme="majorBidi" w:hAnsiTheme="majorBidi" w:cstheme="majorBidi"/>
        </w:rPr>
        <w:t>Parrinello</w:t>
      </w:r>
      <w:proofErr w:type="spellEnd"/>
      <w:r w:rsidRPr="002822FB">
        <w:rPr>
          <w:rFonts w:asciiTheme="majorBidi" w:hAnsiTheme="majorBidi" w:cstheme="majorBidi"/>
        </w:rPr>
        <w:t xml:space="preserve">-Rahman </w:t>
      </w:r>
      <w:proofErr w:type="spellStart"/>
      <w:r w:rsidRPr="002822FB">
        <w:rPr>
          <w:rFonts w:asciiTheme="majorBidi" w:hAnsiTheme="majorBidi" w:cstheme="majorBidi"/>
        </w:rPr>
        <w:t>barostat</w:t>
      </w:r>
      <w:proofErr w:type="spellEnd"/>
      <w:r w:rsidRPr="002822FB">
        <w:rPr>
          <w:rFonts w:asciiTheme="majorBidi" w:hAnsiTheme="majorBidi" w:cstheme="majorBidi"/>
        </w:rPr>
        <w:t xml:space="preserve"> were used, respectively. The atomic coordinates were saved every 10 </w:t>
      </w:r>
      <w:proofErr w:type="spellStart"/>
      <w:r w:rsidRPr="002822FB">
        <w:rPr>
          <w:rFonts w:asciiTheme="majorBidi" w:hAnsiTheme="majorBidi" w:cstheme="majorBidi"/>
        </w:rPr>
        <w:t>ps</w:t>
      </w:r>
      <w:proofErr w:type="spellEnd"/>
      <w:r w:rsidRPr="002822FB">
        <w:rPr>
          <w:rFonts w:asciiTheme="majorBidi" w:hAnsiTheme="majorBidi" w:cstheme="majorBidi"/>
        </w:rPr>
        <w:t xml:space="preserve"> for analysis. The MM-PBSA method was applied to estimate the binding free energy between protein and the ligands [10]. In this study, </w:t>
      </w:r>
      <w:proofErr w:type="spellStart"/>
      <w:r w:rsidRPr="002822FB">
        <w:rPr>
          <w:rFonts w:asciiTheme="majorBidi" w:hAnsiTheme="majorBidi" w:cstheme="majorBidi"/>
        </w:rPr>
        <w:t>g_mmpbsa</w:t>
      </w:r>
      <w:proofErr w:type="spellEnd"/>
      <w:r w:rsidRPr="002822FB">
        <w:rPr>
          <w:rFonts w:asciiTheme="majorBidi" w:hAnsiTheme="majorBidi" w:cstheme="majorBidi"/>
        </w:rPr>
        <w:t xml:space="preserve"> tools was used. Based on RMSD results, the last 40 ns of the MD trajectories were selected to estimate the binding free energies. </w:t>
      </w:r>
      <w:r w:rsidRPr="002822FB">
        <w:rPr>
          <w:rFonts w:asciiTheme="majorBidi" w:hAnsiTheme="majorBidi" w:cstheme="majorBidi"/>
          <w:lang w:bidi="fa-IR"/>
        </w:rPr>
        <w:t xml:space="preserve">Using this method, the contribution of various interactions such as the </w:t>
      </w:r>
      <w:r w:rsidRPr="002822FB">
        <w:rPr>
          <w:rFonts w:asciiTheme="majorBidi" w:hAnsiTheme="majorBidi" w:cstheme="majorBidi"/>
        </w:rPr>
        <w:t xml:space="preserve">electrostatic, van der Waals interaction energies and polar and non-polar solvation free energy </w:t>
      </w:r>
      <w:r w:rsidRPr="002822FB">
        <w:rPr>
          <w:rFonts w:asciiTheme="majorBidi" w:hAnsiTheme="majorBidi" w:cstheme="majorBidi"/>
          <w:lang w:bidi="fa-IR"/>
        </w:rPr>
        <w:t>can be obtained.</w:t>
      </w:r>
    </w:p>
    <w:p w14:paraId="6BCBBE17" w14:textId="77777777" w:rsidR="00F44962" w:rsidRPr="002822FB" w:rsidRDefault="00F44962" w:rsidP="00175E03">
      <w:pPr>
        <w:autoSpaceDE w:val="0"/>
        <w:autoSpaceDN w:val="0"/>
        <w:adjustRightInd w:val="0"/>
        <w:jc w:val="both"/>
        <w:rPr>
          <w:rFonts w:asciiTheme="majorBidi" w:hAnsiTheme="majorBidi" w:cstheme="majorBidi"/>
          <w:lang w:bidi="fa-IR"/>
        </w:rPr>
      </w:pPr>
    </w:p>
    <w:p w14:paraId="3E0A4017" w14:textId="3F0F31FF" w:rsidR="009303D9" w:rsidRPr="002822FB" w:rsidRDefault="00175E03" w:rsidP="006B6B66">
      <w:pPr>
        <w:pStyle w:val="Heading1"/>
        <w:rPr>
          <w:smallCaps w:val="0"/>
        </w:rPr>
      </w:pPr>
      <w:r w:rsidRPr="002822FB">
        <w:rPr>
          <w:smallCaps w:val="0"/>
        </w:rPr>
        <w:t>Results and discussion</w:t>
      </w:r>
    </w:p>
    <w:p w14:paraId="0B6C4848" w14:textId="26ED593F" w:rsidR="00175E03" w:rsidRPr="002822FB" w:rsidRDefault="00175E03" w:rsidP="00175E03">
      <w:pPr>
        <w:pStyle w:val="Abstract"/>
        <w:rPr>
          <w:rFonts w:asciiTheme="majorBidi" w:hAnsiTheme="majorBidi" w:cstheme="majorBidi"/>
          <w:b w:val="0"/>
          <w:bCs w:val="0"/>
          <w:sz w:val="20"/>
          <w:szCs w:val="20"/>
        </w:rPr>
      </w:pPr>
      <w:r w:rsidRPr="002822FB">
        <w:rPr>
          <w:rFonts w:asciiTheme="majorBidi" w:hAnsiTheme="majorBidi" w:cstheme="majorBidi"/>
          <w:b w:val="0"/>
          <w:bCs w:val="0"/>
          <w:sz w:val="20"/>
          <w:szCs w:val="20"/>
        </w:rPr>
        <w:t>After molecular docking, the ligand pose with the highest binding affinity was selected as the best binding mode of ligands in RBD of SARS-CoV-2 spike protein.</w:t>
      </w:r>
      <w:r w:rsidRPr="002822FB">
        <w:rPr>
          <w:rFonts w:asciiTheme="majorBidi" w:hAnsiTheme="majorBidi" w:cstheme="majorBidi"/>
          <w:b w:val="0"/>
          <w:bCs w:val="0"/>
          <w:sz w:val="20"/>
          <w:szCs w:val="20"/>
          <w:lang w:bidi="fa-IR"/>
        </w:rPr>
        <w:t xml:space="preserve"> </w:t>
      </w:r>
      <w:r w:rsidRPr="002822FB">
        <w:rPr>
          <w:rFonts w:asciiTheme="majorBidi" w:hAnsiTheme="majorBidi" w:cstheme="majorBidi"/>
          <w:b w:val="0"/>
          <w:bCs w:val="0"/>
          <w:sz w:val="20"/>
          <w:szCs w:val="20"/>
        </w:rPr>
        <w:t>Then, post-dynamic analysis such as root mean square deviation (RMSD), radius of gyration (</w:t>
      </w:r>
      <w:proofErr w:type="spellStart"/>
      <w:r w:rsidRPr="002822FB">
        <w:rPr>
          <w:rFonts w:asciiTheme="majorBidi" w:hAnsiTheme="majorBidi" w:cstheme="majorBidi"/>
          <w:b w:val="0"/>
          <w:bCs w:val="0"/>
          <w:sz w:val="20"/>
          <w:szCs w:val="20"/>
        </w:rPr>
        <w:t>Rg</w:t>
      </w:r>
      <w:proofErr w:type="spellEnd"/>
      <w:r w:rsidRPr="002822FB">
        <w:rPr>
          <w:rFonts w:asciiTheme="majorBidi" w:hAnsiTheme="majorBidi" w:cstheme="majorBidi"/>
          <w:b w:val="0"/>
          <w:bCs w:val="0"/>
          <w:sz w:val="20"/>
          <w:szCs w:val="20"/>
        </w:rPr>
        <w:t xml:space="preserve">) and binding free energy was performed. The stability of MD trajectories was investigated using the calculation of RMSD of alpha carbon atoms in the SARS-CoV-2 RBD from the initial structure. As shown in Fig. 1, the trajectories reach stability approximately after 10 ns. Small values of RMSDs for all simulated systems suggest that all of these structures are stable. The average of RMSD values are as follows: </w:t>
      </w:r>
      <w:proofErr w:type="spellStart"/>
      <w:r w:rsidRPr="002822FB">
        <w:rPr>
          <w:rFonts w:asciiTheme="majorBidi" w:hAnsiTheme="majorBidi" w:cstheme="majorBidi"/>
          <w:b w:val="0"/>
          <w:bCs w:val="0"/>
          <w:sz w:val="20"/>
          <w:szCs w:val="20"/>
        </w:rPr>
        <w:t>dlt-mxf</w:t>
      </w:r>
      <w:proofErr w:type="spellEnd"/>
      <w:r w:rsidRPr="002822FB">
        <w:rPr>
          <w:rFonts w:asciiTheme="majorBidi" w:hAnsiTheme="majorBidi" w:cstheme="majorBidi"/>
          <w:b w:val="0"/>
          <w:bCs w:val="0"/>
          <w:sz w:val="20"/>
          <w:szCs w:val="20"/>
        </w:rPr>
        <w:t xml:space="preserve"> (0.136 nm), </w:t>
      </w:r>
      <w:proofErr w:type="spellStart"/>
      <w:r w:rsidRPr="002822FB">
        <w:rPr>
          <w:rFonts w:asciiTheme="majorBidi" w:hAnsiTheme="majorBidi" w:cstheme="majorBidi"/>
          <w:b w:val="0"/>
          <w:bCs w:val="0"/>
          <w:sz w:val="20"/>
          <w:szCs w:val="20"/>
        </w:rPr>
        <w:t>dlt-cpf</w:t>
      </w:r>
      <w:proofErr w:type="spellEnd"/>
      <w:r w:rsidRPr="002822FB">
        <w:rPr>
          <w:rFonts w:asciiTheme="majorBidi" w:hAnsiTheme="majorBidi" w:cstheme="majorBidi"/>
          <w:b w:val="0"/>
          <w:bCs w:val="0"/>
          <w:sz w:val="20"/>
          <w:szCs w:val="20"/>
        </w:rPr>
        <w:t xml:space="preserve"> (0.187 nm), </w:t>
      </w:r>
      <w:proofErr w:type="spellStart"/>
      <w:r w:rsidRPr="002822FB">
        <w:rPr>
          <w:rFonts w:asciiTheme="majorBidi" w:hAnsiTheme="majorBidi" w:cstheme="majorBidi"/>
          <w:b w:val="0"/>
          <w:bCs w:val="0"/>
          <w:sz w:val="20"/>
          <w:szCs w:val="20"/>
        </w:rPr>
        <w:t>lmb-mxf</w:t>
      </w:r>
      <w:proofErr w:type="spellEnd"/>
      <w:r w:rsidRPr="002822FB">
        <w:rPr>
          <w:rFonts w:asciiTheme="majorBidi" w:hAnsiTheme="majorBidi" w:cstheme="majorBidi"/>
          <w:b w:val="0"/>
          <w:bCs w:val="0"/>
          <w:sz w:val="20"/>
          <w:szCs w:val="20"/>
        </w:rPr>
        <w:t xml:space="preserve"> (0.134 nm) and </w:t>
      </w:r>
      <w:proofErr w:type="spellStart"/>
      <w:r w:rsidRPr="002822FB">
        <w:rPr>
          <w:rFonts w:asciiTheme="majorBidi" w:hAnsiTheme="majorBidi" w:cstheme="majorBidi"/>
          <w:b w:val="0"/>
          <w:bCs w:val="0"/>
          <w:sz w:val="20"/>
          <w:szCs w:val="20"/>
        </w:rPr>
        <w:t>lmb-cpf</w:t>
      </w:r>
      <w:proofErr w:type="spellEnd"/>
      <w:r w:rsidRPr="002822FB">
        <w:rPr>
          <w:rFonts w:asciiTheme="majorBidi" w:hAnsiTheme="majorBidi" w:cstheme="majorBidi"/>
          <w:b w:val="0"/>
          <w:bCs w:val="0"/>
          <w:sz w:val="20"/>
          <w:szCs w:val="20"/>
        </w:rPr>
        <w:t xml:space="preserve"> (0.179 nm). On the basis of RMSD analyses, it can be concluded that the docked protein-ligand complexes were stable and the docking result could be validated. Among the four complexes, </w:t>
      </w:r>
      <w:proofErr w:type="spellStart"/>
      <w:r w:rsidRPr="002822FB">
        <w:rPr>
          <w:rFonts w:asciiTheme="majorBidi" w:hAnsiTheme="majorBidi" w:cstheme="majorBidi"/>
          <w:b w:val="0"/>
          <w:bCs w:val="0"/>
          <w:sz w:val="20"/>
          <w:szCs w:val="20"/>
        </w:rPr>
        <w:t>dlt-mxf</w:t>
      </w:r>
      <w:proofErr w:type="spellEnd"/>
      <w:r w:rsidRPr="002822FB">
        <w:rPr>
          <w:rFonts w:asciiTheme="majorBidi" w:hAnsiTheme="majorBidi" w:cstheme="majorBidi"/>
          <w:b w:val="0"/>
          <w:bCs w:val="0"/>
          <w:sz w:val="20"/>
          <w:szCs w:val="20"/>
        </w:rPr>
        <w:t xml:space="preserve"> and </w:t>
      </w:r>
      <w:proofErr w:type="spellStart"/>
      <w:r w:rsidRPr="002822FB">
        <w:rPr>
          <w:rFonts w:asciiTheme="majorBidi" w:hAnsiTheme="majorBidi" w:cstheme="majorBidi"/>
          <w:b w:val="0"/>
          <w:bCs w:val="0"/>
          <w:sz w:val="20"/>
          <w:szCs w:val="20"/>
        </w:rPr>
        <w:t>lmb-mxf</w:t>
      </w:r>
      <w:proofErr w:type="spellEnd"/>
      <w:r w:rsidRPr="002822FB">
        <w:rPr>
          <w:rFonts w:asciiTheme="majorBidi" w:hAnsiTheme="majorBidi" w:cstheme="majorBidi"/>
          <w:b w:val="0"/>
          <w:bCs w:val="0"/>
          <w:sz w:val="20"/>
          <w:szCs w:val="20"/>
        </w:rPr>
        <w:t xml:space="preserve"> complexes showed better stability and less RMSD values compared to the other two complexes. From the above data, it can be concluded that the effect of </w:t>
      </w:r>
      <w:proofErr w:type="spellStart"/>
      <w:r w:rsidRPr="002822FB">
        <w:rPr>
          <w:rFonts w:asciiTheme="majorBidi" w:hAnsiTheme="majorBidi" w:cstheme="majorBidi"/>
          <w:b w:val="0"/>
          <w:bCs w:val="0"/>
          <w:sz w:val="20"/>
          <w:szCs w:val="20"/>
        </w:rPr>
        <w:t>moxifloxacin</w:t>
      </w:r>
      <w:proofErr w:type="spellEnd"/>
      <w:r w:rsidRPr="002822FB">
        <w:rPr>
          <w:rFonts w:asciiTheme="majorBidi" w:hAnsiTheme="majorBidi" w:cstheme="majorBidi"/>
          <w:b w:val="0"/>
          <w:bCs w:val="0"/>
          <w:sz w:val="20"/>
          <w:szCs w:val="20"/>
        </w:rPr>
        <w:t xml:space="preserve"> compound on the stability of both of the delta and lambda variants of SARS-CoV-2 RBD is greater than that of ciprofloxacin compound.</w:t>
      </w:r>
    </w:p>
    <w:p w14:paraId="72A9B29D" w14:textId="77777777" w:rsidR="00D4236D" w:rsidRPr="002822FB" w:rsidRDefault="00D4236D" w:rsidP="00D4236D">
      <w:pPr>
        <w:rPr>
          <w:rFonts w:asciiTheme="majorBidi" w:hAnsiTheme="majorBidi" w:cstheme="majorBidi"/>
          <w:vertAlign w:val="subscript"/>
          <w:lang w:bidi="fa-IR"/>
        </w:rPr>
      </w:pPr>
      <w:r w:rsidRPr="002822FB">
        <w:rPr>
          <w:rFonts w:asciiTheme="majorBidi" w:hAnsiTheme="majorBidi" w:cstheme="majorBidi"/>
          <w:noProof/>
        </w:rPr>
        <w:drawing>
          <wp:inline distT="0" distB="0" distL="0" distR="0" wp14:anchorId="0053CB30" wp14:editId="335B30EF">
            <wp:extent cx="4605968" cy="2819400"/>
            <wp:effectExtent l="0" t="0" r="4445" b="0"/>
            <wp:docPr id="8" name="Picture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3073" cy="2829870"/>
                    </a:xfrm>
                    <a:prstGeom prst="rect">
                      <a:avLst/>
                    </a:prstGeom>
                    <a:noFill/>
                    <a:ln>
                      <a:noFill/>
                    </a:ln>
                  </pic:spPr>
                </pic:pic>
              </a:graphicData>
            </a:graphic>
          </wp:inline>
        </w:drawing>
      </w:r>
    </w:p>
    <w:p w14:paraId="73362C70" w14:textId="77777777" w:rsidR="00D4236D" w:rsidRPr="002822FB" w:rsidRDefault="00D4236D" w:rsidP="00D4236D">
      <w:pPr>
        <w:rPr>
          <w:rFonts w:asciiTheme="majorBidi" w:hAnsiTheme="majorBidi" w:cstheme="majorBidi"/>
          <w:sz w:val="16"/>
          <w:szCs w:val="16"/>
          <w:lang w:bidi="fa-IR"/>
        </w:rPr>
      </w:pPr>
      <w:r w:rsidRPr="002822FB">
        <w:rPr>
          <w:rFonts w:asciiTheme="majorBidi" w:hAnsiTheme="majorBidi" w:cstheme="majorBidi"/>
          <w:sz w:val="16"/>
          <w:szCs w:val="16"/>
          <w:lang w:bidi="fa-IR"/>
        </w:rPr>
        <w:t xml:space="preserve">Fig. 1. </w:t>
      </w:r>
      <w:r w:rsidRPr="002822FB">
        <w:rPr>
          <w:rFonts w:asciiTheme="majorBidi" w:hAnsiTheme="majorBidi" w:cstheme="majorBidi"/>
          <w:sz w:val="16"/>
          <w:szCs w:val="16"/>
        </w:rPr>
        <w:t>RMSD of Ca atoms of the delta and lambda variants of SARS-CoV-2 RBD relative to the starting structure over the simulation time.</w:t>
      </w:r>
    </w:p>
    <w:p w14:paraId="7A859B74" w14:textId="77777777" w:rsidR="00D4236D" w:rsidRPr="002822FB" w:rsidRDefault="00D4236D" w:rsidP="00D4236D">
      <w:pPr>
        <w:pStyle w:val="Abstract"/>
        <w:jc w:val="center"/>
        <w:rPr>
          <w:rFonts w:asciiTheme="majorBidi" w:hAnsiTheme="majorBidi" w:cstheme="majorBidi"/>
          <w:b w:val="0"/>
          <w:bCs w:val="0"/>
          <w:sz w:val="20"/>
          <w:szCs w:val="20"/>
        </w:rPr>
      </w:pPr>
    </w:p>
    <w:p w14:paraId="1DEB290D" w14:textId="51266337" w:rsidR="00D4236D" w:rsidRPr="002822FB" w:rsidRDefault="00D4236D" w:rsidP="00D4236D">
      <w:pPr>
        <w:jc w:val="both"/>
        <w:rPr>
          <w:rFonts w:asciiTheme="majorBidi" w:hAnsiTheme="majorBidi" w:cstheme="majorBidi"/>
        </w:rPr>
      </w:pPr>
      <w:r w:rsidRPr="002822FB">
        <w:rPr>
          <w:rFonts w:asciiTheme="majorBidi" w:hAnsiTheme="majorBidi" w:cstheme="majorBidi"/>
          <w:lang w:bidi="fa-IR"/>
        </w:rPr>
        <w:t xml:space="preserve">     The radius of gyration (</w:t>
      </w:r>
      <w:proofErr w:type="spellStart"/>
      <w:r w:rsidRPr="002822FB">
        <w:rPr>
          <w:rFonts w:asciiTheme="majorBidi" w:hAnsiTheme="majorBidi" w:cstheme="majorBidi"/>
          <w:lang w:bidi="fa-IR"/>
        </w:rPr>
        <w:t>Rg</w:t>
      </w:r>
      <w:proofErr w:type="spellEnd"/>
      <w:r w:rsidRPr="002822FB">
        <w:rPr>
          <w:rFonts w:asciiTheme="majorBidi" w:hAnsiTheme="majorBidi" w:cstheme="majorBidi"/>
          <w:lang w:bidi="fa-IR"/>
        </w:rPr>
        <w:t xml:space="preserve">), </w:t>
      </w:r>
      <w:r w:rsidRPr="002822FB">
        <w:rPr>
          <w:rFonts w:asciiTheme="majorBidi" w:hAnsiTheme="majorBidi" w:cstheme="majorBidi"/>
        </w:rPr>
        <w:t>a rough measure for the compactness of a protein structure</w:t>
      </w:r>
      <w:r w:rsidRPr="002822FB">
        <w:rPr>
          <w:rFonts w:asciiTheme="majorBidi" w:hAnsiTheme="majorBidi" w:cstheme="majorBidi"/>
          <w:lang w:bidi="fa-IR"/>
        </w:rPr>
        <w:t xml:space="preserve">, is another structural parameter considered to evaluate the </w:t>
      </w:r>
      <w:r w:rsidRPr="002822FB">
        <w:rPr>
          <w:rFonts w:asciiTheme="majorBidi" w:hAnsiTheme="majorBidi" w:cstheme="majorBidi"/>
        </w:rPr>
        <w:t xml:space="preserve">overall compactness of the ligand-bound complex structure of delta and lambda variants of SARS-CoV-2 RBD </w:t>
      </w:r>
      <w:r w:rsidRPr="002822FB">
        <w:rPr>
          <w:rFonts w:asciiTheme="majorBidi" w:hAnsiTheme="majorBidi" w:cstheme="majorBidi"/>
          <w:lang w:bidi="fa-IR"/>
        </w:rPr>
        <w:t xml:space="preserve">in this study. </w:t>
      </w:r>
      <w:r w:rsidRPr="002822FB">
        <w:rPr>
          <w:rFonts w:asciiTheme="majorBidi" w:hAnsiTheme="majorBidi" w:cstheme="majorBidi"/>
        </w:rPr>
        <w:t xml:space="preserve">Fig. 2 depicted the radius of gyration plots for all the 4 complexes over 60 ns of simulation time. As shown in this figure, </w:t>
      </w:r>
      <w:proofErr w:type="spellStart"/>
      <w:r w:rsidRPr="002822FB">
        <w:rPr>
          <w:rFonts w:asciiTheme="majorBidi" w:hAnsiTheme="majorBidi" w:cstheme="majorBidi"/>
        </w:rPr>
        <w:t>Rg</w:t>
      </w:r>
      <w:proofErr w:type="spellEnd"/>
      <w:r w:rsidRPr="002822FB">
        <w:rPr>
          <w:rFonts w:asciiTheme="majorBidi" w:hAnsiTheme="majorBidi" w:cstheme="majorBidi"/>
        </w:rPr>
        <w:t xml:space="preserve"> is slightly decreasing in </w:t>
      </w:r>
      <w:proofErr w:type="spellStart"/>
      <w:r w:rsidRPr="002822FB">
        <w:rPr>
          <w:rFonts w:asciiTheme="majorBidi" w:hAnsiTheme="majorBidi" w:cstheme="majorBidi"/>
        </w:rPr>
        <w:t>dlt-mxf</w:t>
      </w:r>
      <w:proofErr w:type="spellEnd"/>
      <w:r w:rsidRPr="002822FB">
        <w:rPr>
          <w:rFonts w:asciiTheme="majorBidi" w:hAnsiTheme="majorBidi" w:cstheme="majorBidi"/>
        </w:rPr>
        <w:t xml:space="preserve"> and </w:t>
      </w:r>
      <w:proofErr w:type="spellStart"/>
      <w:r w:rsidRPr="002822FB">
        <w:rPr>
          <w:rFonts w:asciiTheme="majorBidi" w:hAnsiTheme="majorBidi" w:cstheme="majorBidi"/>
        </w:rPr>
        <w:t>lmb-mxf</w:t>
      </w:r>
      <w:proofErr w:type="spellEnd"/>
      <w:r w:rsidRPr="002822FB">
        <w:rPr>
          <w:rFonts w:asciiTheme="majorBidi" w:hAnsiTheme="majorBidi" w:cstheme="majorBidi"/>
        </w:rPr>
        <w:t xml:space="preserve"> complexes over the time, it suggests that binding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compound helps in the stabilization and compactness of the delta and lambda variants of SARS-CoV-2 RBD. In contrast, the higher value of </w:t>
      </w:r>
      <w:proofErr w:type="spellStart"/>
      <w:r w:rsidRPr="002822FB">
        <w:rPr>
          <w:rFonts w:asciiTheme="majorBidi" w:hAnsiTheme="majorBidi" w:cstheme="majorBidi"/>
        </w:rPr>
        <w:t>Rg</w:t>
      </w:r>
      <w:proofErr w:type="spellEnd"/>
      <w:r w:rsidRPr="002822FB">
        <w:rPr>
          <w:rFonts w:asciiTheme="majorBidi" w:hAnsiTheme="majorBidi" w:cstheme="majorBidi"/>
        </w:rPr>
        <w:t xml:space="preserve"> for </w:t>
      </w:r>
      <w:proofErr w:type="spellStart"/>
      <w:r w:rsidRPr="002822FB">
        <w:rPr>
          <w:rFonts w:asciiTheme="majorBidi" w:hAnsiTheme="majorBidi" w:cstheme="majorBidi"/>
        </w:rPr>
        <w:t>dlt-cpf</w:t>
      </w:r>
      <w:proofErr w:type="spellEnd"/>
      <w:r w:rsidRPr="002822FB">
        <w:rPr>
          <w:rFonts w:asciiTheme="majorBidi" w:hAnsiTheme="majorBidi" w:cstheme="majorBidi"/>
        </w:rPr>
        <w:t xml:space="preserve"> and </w:t>
      </w:r>
      <w:proofErr w:type="spellStart"/>
      <w:r w:rsidRPr="002822FB">
        <w:rPr>
          <w:rFonts w:asciiTheme="majorBidi" w:hAnsiTheme="majorBidi" w:cstheme="majorBidi"/>
        </w:rPr>
        <w:t>lmb-cpf</w:t>
      </w:r>
      <w:proofErr w:type="spellEnd"/>
      <w:r w:rsidRPr="002822FB">
        <w:rPr>
          <w:rFonts w:asciiTheme="majorBidi" w:hAnsiTheme="majorBidi" w:cstheme="majorBidi"/>
        </w:rPr>
        <w:t xml:space="preserve"> complexes shows the less effect of the ciprofloxacin in the compactness of delta and lambda variants of SARS-CoV-2 RBD. Since the </w:t>
      </w:r>
      <w:proofErr w:type="spellStart"/>
      <w:r w:rsidRPr="002822FB">
        <w:rPr>
          <w:rFonts w:asciiTheme="majorBidi" w:hAnsiTheme="majorBidi" w:cstheme="majorBidi"/>
        </w:rPr>
        <w:t>Rg</w:t>
      </w:r>
      <w:proofErr w:type="spellEnd"/>
      <w:r w:rsidRPr="002822FB">
        <w:rPr>
          <w:rFonts w:asciiTheme="majorBidi" w:hAnsiTheme="majorBidi" w:cstheme="majorBidi"/>
        </w:rPr>
        <w:t xml:space="preserve"> values ranged between 2.39 and 2.49 nm for all complexes, thus, they have shown stable </w:t>
      </w:r>
      <w:proofErr w:type="spellStart"/>
      <w:r w:rsidRPr="002822FB">
        <w:rPr>
          <w:rFonts w:asciiTheme="majorBidi" w:hAnsiTheme="majorBidi" w:cstheme="majorBidi"/>
        </w:rPr>
        <w:t>Rg</w:t>
      </w:r>
      <w:proofErr w:type="spellEnd"/>
      <w:r w:rsidRPr="002822FB">
        <w:rPr>
          <w:rFonts w:asciiTheme="majorBidi" w:hAnsiTheme="majorBidi" w:cstheme="majorBidi"/>
        </w:rPr>
        <w:t xml:space="preserve"> during the whole production runs.</w:t>
      </w:r>
    </w:p>
    <w:p w14:paraId="48B904DB" w14:textId="7CFC1128" w:rsidR="00D4236D" w:rsidRPr="002822FB" w:rsidRDefault="00D4236D" w:rsidP="00D4236D">
      <w:pPr>
        <w:jc w:val="both"/>
        <w:rPr>
          <w:rFonts w:asciiTheme="majorBidi" w:hAnsiTheme="majorBidi" w:cstheme="majorBidi"/>
        </w:rPr>
      </w:pPr>
    </w:p>
    <w:p w14:paraId="2DCEEABC" w14:textId="77777777" w:rsidR="00D4236D" w:rsidRPr="002822FB" w:rsidRDefault="00D4236D" w:rsidP="00D4236D">
      <w:pPr>
        <w:rPr>
          <w:rFonts w:asciiTheme="majorBidi" w:hAnsiTheme="majorBidi" w:cstheme="majorBidi"/>
          <w:lang w:bidi="fa-IR"/>
        </w:rPr>
      </w:pPr>
      <w:r w:rsidRPr="002822FB">
        <w:rPr>
          <w:rFonts w:asciiTheme="majorBidi" w:hAnsiTheme="majorBidi" w:cstheme="majorBidi"/>
          <w:noProof/>
        </w:rPr>
        <w:drawing>
          <wp:inline distT="0" distB="0" distL="0" distR="0" wp14:anchorId="5F2F02BB" wp14:editId="6CFA65AC">
            <wp:extent cx="4578350" cy="2752725"/>
            <wp:effectExtent l="0" t="0" r="0" b="9525"/>
            <wp:docPr id="9" name="Picture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04985" cy="2768739"/>
                    </a:xfrm>
                    <a:prstGeom prst="rect">
                      <a:avLst/>
                    </a:prstGeom>
                    <a:noFill/>
                    <a:ln>
                      <a:noFill/>
                    </a:ln>
                  </pic:spPr>
                </pic:pic>
              </a:graphicData>
            </a:graphic>
          </wp:inline>
        </w:drawing>
      </w:r>
    </w:p>
    <w:p w14:paraId="76100223" w14:textId="77777777" w:rsidR="00D4236D" w:rsidRPr="002822FB" w:rsidRDefault="00D4236D" w:rsidP="00D4236D">
      <w:pPr>
        <w:rPr>
          <w:rFonts w:asciiTheme="majorBidi" w:hAnsiTheme="majorBidi" w:cstheme="majorBidi"/>
          <w:sz w:val="16"/>
          <w:szCs w:val="16"/>
          <w:lang w:bidi="fa-IR"/>
        </w:rPr>
      </w:pPr>
      <w:r w:rsidRPr="002822FB">
        <w:rPr>
          <w:rFonts w:asciiTheme="majorBidi" w:hAnsiTheme="majorBidi" w:cstheme="majorBidi"/>
          <w:sz w:val="16"/>
          <w:szCs w:val="16"/>
        </w:rPr>
        <w:t>Fig. 2. Radius of gyration for each complex during the production run.</w:t>
      </w:r>
    </w:p>
    <w:p w14:paraId="6D2B364C" w14:textId="77777777" w:rsidR="00D4236D" w:rsidRPr="002822FB" w:rsidRDefault="00D4236D" w:rsidP="00D4236D">
      <w:pPr>
        <w:jc w:val="both"/>
        <w:rPr>
          <w:rFonts w:asciiTheme="majorBidi" w:hAnsiTheme="majorBidi" w:cstheme="majorBidi"/>
        </w:rPr>
      </w:pPr>
    </w:p>
    <w:p w14:paraId="61928ABF" w14:textId="77777777" w:rsidR="00D4236D" w:rsidRPr="002822FB" w:rsidRDefault="00D4236D" w:rsidP="00D4236D">
      <w:pPr>
        <w:jc w:val="both"/>
        <w:rPr>
          <w:rFonts w:asciiTheme="majorBidi" w:hAnsiTheme="majorBidi" w:cstheme="majorBidi"/>
        </w:rPr>
      </w:pPr>
    </w:p>
    <w:p w14:paraId="4DE1B5FA" w14:textId="32708B22" w:rsidR="00D4236D" w:rsidRPr="002822FB" w:rsidRDefault="00D4236D" w:rsidP="00D4236D">
      <w:pPr>
        <w:autoSpaceDE w:val="0"/>
        <w:autoSpaceDN w:val="0"/>
        <w:adjustRightInd w:val="0"/>
        <w:jc w:val="both"/>
        <w:rPr>
          <w:rFonts w:asciiTheme="majorBidi" w:hAnsiTheme="majorBidi" w:cstheme="majorBidi"/>
        </w:rPr>
      </w:pPr>
      <w:r w:rsidRPr="002822FB">
        <w:rPr>
          <w:rFonts w:asciiTheme="majorBidi" w:hAnsiTheme="majorBidi" w:cstheme="majorBidi"/>
        </w:rPr>
        <w:t xml:space="preserve">     To complete the structural analysis and survey the binding affinity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 ciprofloxacin to delta and lambda variants of SARS-CoV-2 RBD, the binding free energy values were estimated using the MM-PBSA method. The contribution of van der Waals, electrostatic, polar and non-polar solvation terms were depicted in Fig. 3. The binding free energy values are as follows: </w:t>
      </w:r>
      <w:proofErr w:type="spellStart"/>
      <w:r w:rsidRPr="002822FB">
        <w:rPr>
          <w:rFonts w:asciiTheme="majorBidi" w:hAnsiTheme="majorBidi" w:cstheme="majorBidi"/>
        </w:rPr>
        <w:t>dlt-mxf</w:t>
      </w:r>
      <w:proofErr w:type="spellEnd"/>
      <w:r w:rsidRPr="002822FB">
        <w:rPr>
          <w:rFonts w:asciiTheme="majorBidi" w:hAnsiTheme="majorBidi" w:cstheme="majorBidi"/>
        </w:rPr>
        <w:t xml:space="preserve"> (-141.37 kcal/</w:t>
      </w:r>
      <w:proofErr w:type="spellStart"/>
      <w:r w:rsidRPr="002822FB">
        <w:rPr>
          <w:rFonts w:asciiTheme="majorBidi" w:hAnsiTheme="majorBidi" w:cstheme="majorBidi"/>
        </w:rPr>
        <w:t>mol</w:t>
      </w:r>
      <w:proofErr w:type="spellEnd"/>
      <w:r w:rsidRPr="002822FB">
        <w:rPr>
          <w:rFonts w:asciiTheme="majorBidi" w:hAnsiTheme="majorBidi" w:cstheme="majorBidi"/>
        </w:rPr>
        <w:t xml:space="preserve">), </w:t>
      </w:r>
      <w:proofErr w:type="spellStart"/>
      <w:r w:rsidRPr="002822FB">
        <w:rPr>
          <w:rFonts w:asciiTheme="majorBidi" w:hAnsiTheme="majorBidi" w:cstheme="majorBidi"/>
        </w:rPr>
        <w:t>dlt-cpf</w:t>
      </w:r>
      <w:proofErr w:type="spellEnd"/>
      <w:r w:rsidRPr="002822FB">
        <w:rPr>
          <w:rFonts w:asciiTheme="majorBidi" w:hAnsiTheme="majorBidi" w:cstheme="majorBidi"/>
        </w:rPr>
        <w:t xml:space="preserve"> (-110.87 kcal/</w:t>
      </w:r>
      <w:proofErr w:type="spellStart"/>
      <w:r w:rsidRPr="002822FB">
        <w:rPr>
          <w:rFonts w:asciiTheme="majorBidi" w:hAnsiTheme="majorBidi" w:cstheme="majorBidi"/>
        </w:rPr>
        <w:t>mol</w:t>
      </w:r>
      <w:proofErr w:type="spellEnd"/>
      <w:r w:rsidRPr="002822FB">
        <w:rPr>
          <w:rFonts w:asciiTheme="majorBidi" w:hAnsiTheme="majorBidi" w:cstheme="majorBidi"/>
        </w:rPr>
        <w:t xml:space="preserve">), </w:t>
      </w:r>
      <w:proofErr w:type="spellStart"/>
      <w:r w:rsidRPr="002822FB">
        <w:rPr>
          <w:rFonts w:asciiTheme="majorBidi" w:hAnsiTheme="majorBidi" w:cstheme="majorBidi"/>
        </w:rPr>
        <w:t>lmb-mxf</w:t>
      </w:r>
      <w:proofErr w:type="spellEnd"/>
      <w:r w:rsidRPr="002822FB">
        <w:rPr>
          <w:rFonts w:asciiTheme="majorBidi" w:hAnsiTheme="majorBidi" w:cstheme="majorBidi"/>
        </w:rPr>
        <w:t xml:space="preserve"> (-148.69 kcal/</w:t>
      </w:r>
      <w:proofErr w:type="spellStart"/>
      <w:r w:rsidRPr="002822FB">
        <w:rPr>
          <w:rFonts w:asciiTheme="majorBidi" w:hAnsiTheme="majorBidi" w:cstheme="majorBidi"/>
        </w:rPr>
        <w:t>mol</w:t>
      </w:r>
      <w:proofErr w:type="spellEnd"/>
      <w:r w:rsidRPr="002822FB">
        <w:rPr>
          <w:rFonts w:asciiTheme="majorBidi" w:hAnsiTheme="majorBidi" w:cstheme="majorBidi"/>
        </w:rPr>
        <w:t xml:space="preserve">) and </w:t>
      </w:r>
      <w:proofErr w:type="spellStart"/>
      <w:r w:rsidRPr="002822FB">
        <w:rPr>
          <w:rFonts w:asciiTheme="majorBidi" w:hAnsiTheme="majorBidi" w:cstheme="majorBidi"/>
        </w:rPr>
        <w:t>lmb-cpf</w:t>
      </w:r>
      <w:proofErr w:type="spellEnd"/>
      <w:r w:rsidRPr="002822FB">
        <w:rPr>
          <w:rFonts w:asciiTheme="majorBidi" w:hAnsiTheme="majorBidi" w:cstheme="majorBidi"/>
        </w:rPr>
        <w:t xml:space="preserve"> (-117.26 kcal/</w:t>
      </w:r>
      <w:proofErr w:type="spellStart"/>
      <w:r w:rsidRPr="002822FB">
        <w:rPr>
          <w:rFonts w:asciiTheme="majorBidi" w:hAnsiTheme="majorBidi" w:cstheme="majorBidi"/>
        </w:rPr>
        <w:t>mol</w:t>
      </w:r>
      <w:proofErr w:type="spellEnd"/>
      <w:r w:rsidRPr="002822FB">
        <w:rPr>
          <w:rFonts w:asciiTheme="majorBidi" w:hAnsiTheme="majorBidi" w:cstheme="majorBidi"/>
        </w:rPr>
        <w:t xml:space="preserve">). The binding energy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to SARS-CoV-2 RBD in lambda variant is greater than that of SARS-CoV-2 RBD in delta variant, indicating that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has a higher binding activity to SARS-CoV-2 RBD in lambda variant. This is similarly seen for ciprofloxacin. In general, by this calculation, it was found that the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has the most favorable binding free energy for both of delta and lambda variants of SARS-CoV-2 RBD with regard to ciprofloxacin.</w:t>
      </w:r>
      <w:r w:rsidRPr="002822FB">
        <w:rPr>
          <w:rFonts w:asciiTheme="majorBidi" w:hAnsiTheme="majorBidi" w:cstheme="majorBidi"/>
          <w:lang w:bidi="fa-IR"/>
        </w:rPr>
        <w:t xml:space="preserve"> </w:t>
      </w:r>
      <w:r w:rsidRPr="002822FB">
        <w:rPr>
          <w:rFonts w:asciiTheme="majorBidi" w:hAnsiTheme="majorBidi" w:cstheme="majorBidi"/>
        </w:rPr>
        <w:t xml:space="preserve">In addition, for all complexes, the major favorable contributors are the van der Waals and electrostatic terms, respectively. The polar solvation term opposes binding and nonpolar solvation has a less favorable contribution relative to the van der Waals and electrostatic terms. </w:t>
      </w:r>
    </w:p>
    <w:p w14:paraId="22966B33" w14:textId="7F9B40D1" w:rsidR="00D4236D" w:rsidRPr="002822FB" w:rsidRDefault="00D4236D" w:rsidP="00D4236D">
      <w:pPr>
        <w:autoSpaceDE w:val="0"/>
        <w:autoSpaceDN w:val="0"/>
        <w:adjustRightInd w:val="0"/>
        <w:jc w:val="both"/>
        <w:rPr>
          <w:rFonts w:asciiTheme="majorBidi" w:hAnsiTheme="majorBidi" w:cstheme="majorBidi"/>
        </w:rPr>
      </w:pPr>
    </w:p>
    <w:p w14:paraId="1B15A96A" w14:textId="77777777" w:rsidR="00D4236D" w:rsidRPr="002822FB" w:rsidRDefault="00D4236D" w:rsidP="00D4236D">
      <w:pPr>
        <w:rPr>
          <w:rFonts w:asciiTheme="majorBidi" w:hAnsiTheme="majorBidi" w:cstheme="majorBidi"/>
          <w:lang w:bidi="fa-IR"/>
        </w:rPr>
      </w:pPr>
      <w:r w:rsidRPr="002822FB">
        <w:rPr>
          <w:rFonts w:asciiTheme="majorBidi" w:hAnsiTheme="majorBidi" w:cstheme="majorBidi"/>
          <w:noProof/>
        </w:rPr>
        <w:drawing>
          <wp:inline distT="0" distB="0" distL="0" distR="0" wp14:anchorId="0C6253C0" wp14:editId="37941396">
            <wp:extent cx="4700873" cy="2724150"/>
            <wp:effectExtent l="0" t="0" r="5080" b="0"/>
            <wp:docPr id="12" name="Picture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18715" cy="2734490"/>
                    </a:xfrm>
                    <a:prstGeom prst="rect">
                      <a:avLst/>
                    </a:prstGeom>
                    <a:noFill/>
                    <a:ln>
                      <a:noFill/>
                    </a:ln>
                  </pic:spPr>
                </pic:pic>
              </a:graphicData>
            </a:graphic>
          </wp:inline>
        </w:drawing>
      </w:r>
    </w:p>
    <w:p w14:paraId="2911010F" w14:textId="77777777" w:rsidR="00D4236D" w:rsidRPr="002822FB" w:rsidRDefault="00D4236D" w:rsidP="00D4236D">
      <w:pPr>
        <w:rPr>
          <w:rFonts w:asciiTheme="majorBidi" w:hAnsiTheme="majorBidi" w:cstheme="majorBidi"/>
          <w:sz w:val="16"/>
          <w:szCs w:val="16"/>
          <w:lang w:bidi="fa-IR"/>
        </w:rPr>
      </w:pPr>
      <w:r w:rsidRPr="002822FB">
        <w:rPr>
          <w:rFonts w:asciiTheme="majorBidi" w:hAnsiTheme="majorBidi" w:cstheme="majorBidi"/>
          <w:sz w:val="16"/>
          <w:szCs w:val="16"/>
        </w:rPr>
        <w:t>Fig. 3. MM-PBSA/MM-GBSA graph of all 4 complexes providing the distribution of energy components during the course of simulation</w:t>
      </w:r>
    </w:p>
    <w:p w14:paraId="02128219" w14:textId="77777777" w:rsidR="00D4236D" w:rsidRPr="002822FB" w:rsidRDefault="00D4236D" w:rsidP="00D4236D">
      <w:pPr>
        <w:autoSpaceDE w:val="0"/>
        <w:autoSpaceDN w:val="0"/>
        <w:adjustRightInd w:val="0"/>
        <w:jc w:val="both"/>
        <w:rPr>
          <w:rFonts w:asciiTheme="majorBidi" w:hAnsiTheme="majorBidi" w:cstheme="majorBidi"/>
        </w:rPr>
      </w:pPr>
    </w:p>
    <w:p w14:paraId="670F0392" w14:textId="77777777" w:rsidR="00D4236D" w:rsidRPr="002822FB" w:rsidRDefault="00D4236D" w:rsidP="00D4236D">
      <w:pPr>
        <w:autoSpaceDE w:val="0"/>
        <w:autoSpaceDN w:val="0"/>
        <w:adjustRightInd w:val="0"/>
        <w:spacing w:line="18pt" w:lineRule="auto"/>
        <w:jc w:val="both"/>
        <w:rPr>
          <w:rFonts w:asciiTheme="majorBidi" w:hAnsiTheme="majorBidi" w:cstheme="majorBidi"/>
          <w:b/>
          <w:bCs/>
        </w:rPr>
      </w:pPr>
    </w:p>
    <w:p w14:paraId="4608EA61" w14:textId="6A74D477" w:rsidR="00D4236D" w:rsidRPr="002822FB" w:rsidRDefault="00D4236D" w:rsidP="00D4236D">
      <w:pPr>
        <w:autoSpaceDE w:val="0"/>
        <w:autoSpaceDN w:val="0"/>
        <w:adjustRightInd w:val="0"/>
        <w:jc w:val="both"/>
        <w:rPr>
          <w:rFonts w:asciiTheme="majorBidi" w:hAnsiTheme="majorBidi" w:cstheme="majorBidi"/>
          <w:color w:val="000000" w:themeColor="text1"/>
        </w:rPr>
      </w:pPr>
      <w:r w:rsidRPr="002822FB">
        <w:rPr>
          <w:rFonts w:asciiTheme="majorBidi" w:hAnsiTheme="majorBidi" w:cstheme="majorBidi"/>
        </w:rPr>
        <w:t xml:space="preserve">     The interaction diagram between ligands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 ciprofloxacin) and delta and lambda variants of SARS-CoV-2 RBD was generated by Discovery Studio Visualizer to determine the types and number of the formed interactions (Fig.4). </w:t>
      </w:r>
      <w:r w:rsidRPr="002822FB">
        <w:rPr>
          <w:rFonts w:asciiTheme="majorBidi" w:hAnsiTheme="majorBidi" w:cstheme="majorBidi"/>
          <w:color w:val="000000" w:themeColor="text1"/>
        </w:rPr>
        <w:t xml:space="preserve">To this aim, the average structure of protein-ligand complexes during the simulation was applied. As shown in this figure,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was able to maintain strong pattern of interaction with lambda variant of SARS-CoV-2 RBD with regard to ciprofloxacin. This is similarly seen for delta variant of SARS-CoV-2 RBD. </w:t>
      </w:r>
    </w:p>
    <w:p w14:paraId="43AF59DE" w14:textId="77777777" w:rsidR="00D4236D" w:rsidRPr="002822FB" w:rsidRDefault="00D4236D" w:rsidP="00D4236D">
      <w:pPr>
        <w:autoSpaceDE w:val="0"/>
        <w:autoSpaceDN w:val="0"/>
        <w:adjustRightInd w:val="0"/>
        <w:jc w:val="both"/>
        <w:rPr>
          <w:rFonts w:asciiTheme="majorBidi" w:hAnsiTheme="majorBidi" w:cstheme="majorBidi"/>
          <w:lang w:bidi="fa-IR"/>
        </w:rPr>
      </w:pPr>
    </w:p>
    <w:p w14:paraId="39175F8F" w14:textId="36ACD79D" w:rsidR="00D4236D" w:rsidRPr="002822FB" w:rsidRDefault="00D4236D" w:rsidP="00D4236D">
      <w:pPr>
        <w:pStyle w:val="Heading1"/>
        <w:rPr>
          <w:smallCaps w:val="0"/>
        </w:rPr>
      </w:pPr>
      <w:r w:rsidRPr="002822FB">
        <w:rPr>
          <w:smallCaps w:val="0"/>
        </w:rPr>
        <w:t>Conclusion</w:t>
      </w:r>
    </w:p>
    <w:p w14:paraId="2D84B5C8" w14:textId="5DC20C3C" w:rsidR="00D4236D" w:rsidRPr="002822FB" w:rsidRDefault="00D4236D" w:rsidP="00D4236D">
      <w:pPr>
        <w:jc w:val="both"/>
        <w:rPr>
          <w:rFonts w:asciiTheme="majorBidi" w:hAnsiTheme="majorBidi" w:cstheme="majorBidi"/>
        </w:rPr>
      </w:pPr>
      <w:r w:rsidRPr="002822FB">
        <w:rPr>
          <w:rFonts w:asciiTheme="majorBidi" w:hAnsiTheme="majorBidi" w:cstheme="majorBidi"/>
        </w:rPr>
        <w:t xml:space="preserve">     In the current study, by applying the molecular docking and molecular dynamics study, as a powerful and efficient method, the binding affinity between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and</w:t>
      </w:r>
      <w:r w:rsidRPr="002822FB">
        <w:rPr>
          <w:rFonts w:asciiTheme="majorBidi" w:hAnsiTheme="majorBidi" w:cstheme="majorBidi"/>
          <w:b/>
          <w:bCs/>
        </w:rPr>
        <w:t xml:space="preserve"> </w:t>
      </w:r>
      <w:r w:rsidRPr="002822FB">
        <w:rPr>
          <w:rFonts w:asciiTheme="majorBidi" w:hAnsiTheme="majorBidi" w:cstheme="majorBidi"/>
        </w:rPr>
        <w:t xml:space="preserve">ciprofloxacin and delta and lambda variants of SARS-CoV-2 RBD was investigated. RMSD and </w:t>
      </w:r>
      <w:proofErr w:type="spellStart"/>
      <w:r w:rsidRPr="002822FB">
        <w:rPr>
          <w:rFonts w:asciiTheme="majorBidi" w:hAnsiTheme="majorBidi" w:cstheme="majorBidi"/>
        </w:rPr>
        <w:t>Rg</w:t>
      </w:r>
      <w:proofErr w:type="spellEnd"/>
      <w:r w:rsidRPr="002822FB">
        <w:rPr>
          <w:rFonts w:asciiTheme="majorBidi" w:hAnsiTheme="majorBidi" w:cstheme="majorBidi"/>
        </w:rPr>
        <w:t xml:space="preserve"> analysis showed that among the four complexes, </w:t>
      </w:r>
      <w:proofErr w:type="spellStart"/>
      <w:r w:rsidRPr="002822FB">
        <w:rPr>
          <w:rFonts w:asciiTheme="majorBidi" w:hAnsiTheme="majorBidi" w:cstheme="majorBidi"/>
        </w:rPr>
        <w:t>dlt-mxf</w:t>
      </w:r>
      <w:proofErr w:type="spellEnd"/>
      <w:r w:rsidRPr="002822FB">
        <w:rPr>
          <w:rFonts w:asciiTheme="majorBidi" w:hAnsiTheme="majorBidi" w:cstheme="majorBidi"/>
        </w:rPr>
        <w:t xml:space="preserve"> and </w:t>
      </w:r>
      <w:proofErr w:type="spellStart"/>
      <w:r w:rsidRPr="002822FB">
        <w:rPr>
          <w:rFonts w:asciiTheme="majorBidi" w:hAnsiTheme="majorBidi" w:cstheme="majorBidi"/>
        </w:rPr>
        <w:t>lmb-mxf</w:t>
      </w:r>
      <w:proofErr w:type="spellEnd"/>
      <w:r w:rsidRPr="002822FB">
        <w:rPr>
          <w:rFonts w:asciiTheme="majorBidi" w:hAnsiTheme="majorBidi" w:cstheme="majorBidi"/>
        </w:rPr>
        <w:t xml:space="preserve"> complexes showed better stability and the effect of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compound on the stability of both of the delta and lambda variants of SARS-CoV-2 RBD is greater than that of ciprofloxacin compound. These results were supported by other analyses like the binding free energy using MM-PBSA method. Calculation of the binding free energy of the four protein-ligand complexes indicated that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bound to both of delta and lambda variants of SARS-CoV-2 RBD more strongly than the ciprofloxacin. Also, these outputs revealed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as the best inhibitor for lambda variant of SARS-CoV-2 RBD relative to delta variant of SARS-CoV-2 RBD. Since </w:t>
      </w:r>
      <w:proofErr w:type="spellStart"/>
      <w:r w:rsidRPr="002822FB">
        <w:rPr>
          <w:rFonts w:asciiTheme="majorBidi" w:hAnsiTheme="majorBidi" w:cstheme="majorBidi"/>
        </w:rPr>
        <w:t>moxifloxacin</w:t>
      </w:r>
      <w:proofErr w:type="spellEnd"/>
      <w:r w:rsidRPr="002822FB">
        <w:rPr>
          <w:rFonts w:asciiTheme="majorBidi" w:hAnsiTheme="majorBidi" w:cstheme="majorBidi"/>
        </w:rPr>
        <w:t xml:space="preserve"> satisfies the ADME properties, for further investigation, it is recommended that it be tested in clinical trials as a treatment for COVID-19.</w:t>
      </w:r>
    </w:p>
    <w:p w14:paraId="67A57797" w14:textId="71C6C55B" w:rsidR="00D4236D" w:rsidRPr="002822FB" w:rsidRDefault="00D4236D" w:rsidP="00175E03">
      <w:pPr>
        <w:pStyle w:val="Abstract"/>
        <w:rPr>
          <w:rFonts w:asciiTheme="majorBidi" w:hAnsiTheme="majorBidi" w:cstheme="majorBidi"/>
          <w:b w:val="0"/>
          <w:bCs w:val="0"/>
          <w:sz w:val="20"/>
          <w:szCs w:val="20"/>
        </w:rPr>
      </w:pPr>
    </w:p>
    <w:p w14:paraId="7718E46D" w14:textId="77777777" w:rsidR="00D4236D" w:rsidRPr="002822FB" w:rsidRDefault="00D4236D" w:rsidP="00D4236D">
      <w:pPr>
        <w:rPr>
          <w:rFonts w:asciiTheme="majorBidi" w:hAnsiTheme="majorBidi" w:cstheme="majorBidi"/>
          <w:lang w:bidi="fa-IR"/>
        </w:rPr>
      </w:pPr>
      <w:r w:rsidRPr="002822FB">
        <w:rPr>
          <w:rFonts w:asciiTheme="majorBidi" w:hAnsiTheme="majorBidi" w:cstheme="majorBidi"/>
          <w:noProof/>
        </w:rPr>
        <w:drawing>
          <wp:inline distT="0" distB="0" distL="0" distR="0" wp14:anchorId="4DBAF5F2" wp14:editId="5E15E1E1">
            <wp:extent cx="5883215" cy="5111059"/>
            <wp:effectExtent l="0" t="0" r="3810" b="0"/>
            <wp:docPr id="14" name="Picture 1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91930" cy="5118630"/>
                    </a:xfrm>
                    <a:prstGeom prst="rect">
                      <a:avLst/>
                    </a:prstGeom>
                    <a:noFill/>
                    <a:ln>
                      <a:noFill/>
                    </a:ln>
                  </pic:spPr>
                </pic:pic>
              </a:graphicData>
            </a:graphic>
          </wp:inline>
        </w:drawing>
      </w:r>
    </w:p>
    <w:p w14:paraId="110025E8" w14:textId="77777777" w:rsidR="00D4236D" w:rsidRPr="002822FB" w:rsidRDefault="00D4236D" w:rsidP="00D4236D">
      <w:pPr>
        <w:rPr>
          <w:rFonts w:asciiTheme="majorBidi" w:hAnsiTheme="majorBidi" w:cstheme="majorBidi"/>
          <w:sz w:val="16"/>
          <w:szCs w:val="16"/>
        </w:rPr>
      </w:pPr>
      <w:r w:rsidRPr="002822FB">
        <w:rPr>
          <w:rFonts w:asciiTheme="majorBidi" w:hAnsiTheme="majorBidi" w:cstheme="majorBidi"/>
          <w:sz w:val="16"/>
          <w:szCs w:val="16"/>
          <w:lang w:bidi="fa-IR"/>
        </w:rPr>
        <w:t xml:space="preserve">Fig. 4. </w:t>
      </w:r>
      <w:r w:rsidRPr="002822FB">
        <w:rPr>
          <w:rFonts w:asciiTheme="majorBidi" w:hAnsiTheme="majorBidi" w:cstheme="majorBidi"/>
          <w:sz w:val="16"/>
          <w:szCs w:val="16"/>
        </w:rPr>
        <w:t xml:space="preserve">2D interaction diagrams for (a) </w:t>
      </w:r>
      <w:proofErr w:type="spellStart"/>
      <w:r w:rsidRPr="002822FB">
        <w:rPr>
          <w:rFonts w:asciiTheme="majorBidi" w:hAnsiTheme="majorBidi" w:cstheme="majorBidi"/>
          <w:sz w:val="16"/>
          <w:szCs w:val="16"/>
        </w:rPr>
        <w:t>dlt-cpf</w:t>
      </w:r>
      <w:proofErr w:type="spellEnd"/>
      <w:r w:rsidRPr="002822FB">
        <w:rPr>
          <w:rFonts w:asciiTheme="majorBidi" w:hAnsiTheme="majorBidi" w:cstheme="majorBidi"/>
          <w:sz w:val="16"/>
          <w:szCs w:val="16"/>
        </w:rPr>
        <w:t xml:space="preserve">, (b) </w:t>
      </w:r>
      <w:proofErr w:type="spellStart"/>
      <w:r w:rsidRPr="002822FB">
        <w:rPr>
          <w:rFonts w:asciiTheme="majorBidi" w:hAnsiTheme="majorBidi" w:cstheme="majorBidi"/>
          <w:sz w:val="16"/>
          <w:szCs w:val="16"/>
        </w:rPr>
        <w:t>dlt-mxf</w:t>
      </w:r>
      <w:proofErr w:type="spellEnd"/>
      <w:r w:rsidRPr="002822FB">
        <w:rPr>
          <w:rFonts w:asciiTheme="majorBidi" w:hAnsiTheme="majorBidi" w:cstheme="majorBidi"/>
          <w:sz w:val="16"/>
          <w:szCs w:val="16"/>
        </w:rPr>
        <w:t xml:space="preserve">, (c) </w:t>
      </w:r>
      <w:proofErr w:type="spellStart"/>
      <w:r w:rsidRPr="002822FB">
        <w:rPr>
          <w:rFonts w:asciiTheme="majorBidi" w:hAnsiTheme="majorBidi" w:cstheme="majorBidi"/>
          <w:sz w:val="16"/>
          <w:szCs w:val="16"/>
        </w:rPr>
        <w:t>lmb-cpf</w:t>
      </w:r>
      <w:proofErr w:type="spellEnd"/>
      <w:r w:rsidRPr="002822FB">
        <w:rPr>
          <w:rFonts w:asciiTheme="majorBidi" w:hAnsiTheme="majorBidi" w:cstheme="majorBidi"/>
          <w:sz w:val="16"/>
          <w:szCs w:val="16"/>
        </w:rPr>
        <w:t xml:space="preserve"> and (d) </w:t>
      </w:r>
      <w:proofErr w:type="spellStart"/>
      <w:r w:rsidRPr="002822FB">
        <w:rPr>
          <w:rFonts w:asciiTheme="majorBidi" w:hAnsiTheme="majorBidi" w:cstheme="majorBidi"/>
          <w:sz w:val="16"/>
          <w:szCs w:val="16"/>
        </w:rPr>
        <w:t>lmb-mxf</w:t>
      </w:r>
      <w:proofErr w:type="spellEnd"/>
      <w:r w:rsidRPr="002822FB">
        <w:rPr>
          <w:rFonts w:asciiTheme="majorBidi" w:hAnsiTheme="majorBidi" w:cstheme="majorBidi"/>
          <w:sz w:val="16"/>
          <w:szCs w:val="16"/>
        </w:rPr>
        <w:t xml:space="preserve"> complexes.</w:t>
      </w:r>
    </w:p>
    <w:p w14:paraId="718E31C9" w14:textId="2F413833" w:rsidR="00D4236D" w:rsidRDefault="00D4236D" w:rsidP="00175E03">
      <w:pPr>
        <w:pStyle w:val="Abstract"/>
        <w:rPr>
          <w:rFonts w:asciiTheme="majorBidi" w:hAnsiTheme="majorBidi" w:cstheme="majorBidi"/>
          <w:b w:val="0"/>
          <w:bCs w:val="0"/>
          <w:sz w:val="20"/>
          <w:szCs w:val="20"/>
        </w:rPr>
      </w:pPr>
    </w:p>
    <w:p w14:paraId="3939534D" w14:textId="77777777" w:rsidR="00D4236D" w:rsidRPr="002822FB" w:rsidRDefault="00D4236D" w:rsidP="00D4236D">
      <w:pPr>
        <w:pStyle w:val="Heading5"/>
        <w:rPr>
          <w:b/>
          <w:bCs/>
          <w:smallCaps w:val="0"/>
        </w:rPr>
      </w:pPr>
      <w:r w:rsidRPr="002822FB">
        <w:rPr>
          <w:b/>
          <w:bCs/>
          <w:smallCaps w:val="0"/>
        </w:rPr>
        <w:t>References</w:t>
      </w:r>
    </w:p>
    <w:p w14:paraId="15BD14A2" w14:textId="3D71B40D" w:rsidR="002822FB" w:rsidRPr="002822FB" w:rsidRDefault="002822FB" w:rsidP="002822FB">
      <w:pPr>
        <w:pStyle w:val="references"/>
      </w:pPr>
      <w:r w:rsidRPr="002822FB">
        <w:t>D. Cucinotta and M. Vanelli, “WHO declares COVID-19 a pandemic,” Acta</w:t>
      </w:r>
      <w:r w:rsidR="00F35615">
        <w:t>.</w:t>
      </w:r>
      <w:r w:rsidRPr="002822FB">
        <w:t xml:space="preserve"> Bio</w:t>
      </w:r>
      <w:r w:rsidR="00F35615">
        <w:t>.</w:t>
      </w:r>
      <w:r w:rsidRPr="002822FB">
        <w:t xml:space="preserve"> Medica: Atenei Parmensis, vol. 91, no. 1, pp. 157–160, March 2020.</w:t>
      </w:r>
    </w:p>
    <w:p w14:paraId="11CD4752" w14:textId="77777777" w:rsidR="002822FB" w:rsidRPr="00720600" w:rsidRDefault="002822FB" w:rsidP="002822FB">
      <w:pPr>
        <w:pStyle w:val="references"/>
      </w:pPr>
      <w:r w:rsidRPr="002822FB">
        <w:t xml:space="preserve">J. Lan, J. Ge, J. Yu, S. </w:t>
      </w:r>
      <w:r w:rsidRPr="00720600">
        <w:t>Shan, H. Zhou, S. Fan, Q. Zhang, X. Shi, Q. Wang, L. Zhang, and X. Wang, “Structure of the SARS-CoV-2 spike receptor-binding domain bound to the ACE2 receptor,” Nature, vol. 581, no. 7807, pp. 215–220, March 2020.</w:t>
      </w:r>
    </w:p>
    <w:p w14:paraId="0B35DEAC" w14:textId="77777777" w:rsidR="002822FB" w:rsidRPr="00720600" w:rsidRDefault="002822FB" w:rsidP="002822FB">
      <w:pPr>
        <w:pStyle w:val="references"/>
      </w:pPr>
      <w:r w:rsidRPr="00720600">
        <w:t>J. Y. Noh, H. W. Jeong, and E. C. Shin, “SARS-CoV-2 mutations, vaccines, and immunity: implication of variants of concern,” Signal Transduction and Targeted Therapy, vol. 6, no. 1, pp. 1–2, May 2021.</w:t>
      </w:r>
    </w:p>
    <w:p w14:paraId="2CAC23B5" w14:textId="70105384" w:rsidR="002822FB" w:rsidRPr="00720600" w:rsidRDefault="002822FB" w:rsidP="00F35615">
      <w:pPr>
        <w:pStyle w:val="references"/>
      </w:pPr>
      <w:r w:rsidRPr="00720600">
        <w:t>S. Richter, C. Parolin, M. Palumbo, and G. Palù, “Antiviral properties of quinolone-based drugs,” Curr</w:t>
      </w:r>
      <w:r w:rsidR="00F35615" w:rsidRPr="00720600">
        <w:t xml:space="preserve">. </w:t>
      </w:r>
      <w:r w:rsidRPr="00720600">
        <w:t>Drug</w:t>
      </w:r>
      <w:r w:rsidR="00F35615" w:rsidRPr="00720600">
        <w:t>.</w:t>
      </w:r>
      <w:r w:rsidRPr="00720600">
        <w:t xml:space="preserve"> Targets, vol. 4, no. 2, pp. 111–116, June 2004.</w:t>
      </w:r>
    </w:p>
    <w:p w14:paraId="62E2AB92" w14:textId="06B25BE7" w:rsidR="002822FB" w:rsidRPr="002822FB" w:rsidRDefault="002822FB" w:rsidP="00F35615">
      <w:pPr>
        <w:pStyle w:val="references"/>
      </w:pPr>
      <w:r w:rsidRPr="002822FB">
        <w:t>O. Trott and A. J. Olson, “AutoDock Vina: improving the speed and accuracy of docking with a new scoring function, efficient optimization, and multithreading,” J</w:t>
      </w:r>
      <w:r w:rsidR="00F35615">
        <w:t>. Comput. Chem</w:t>
      </w:r>
      <w:r w:rsidRPr="002822FB">
        <w:t>, vol. 31, no. 2, pp. 455–461, January 2010.</w:t>
      </w:r>
    </w:p>
    <w:p w14:paraId="2CDCF18F" w14:textId="77777777" w:rsidR="002822FB" w:rsidRPr="002822FB" w:rsidRDefault="002822FB" w:rsidP="002822FB">
      <w:pPr>
        <w:pStyle w:val="references"/>
      </w:pPr>
      <w:r w:rsidRPr="002822FB">
        <w:t>The PyMOL Molecular Graphics System, Version 1.2r3pre, Schrödinger, LLC.</w:t>
      </w:r>
    </w:p>
    <w:p w14:paraId="332BB58B" w14:textId="77777777" w:rsidR="002822FB" w:rsidRPr="00F35615" w:rsidRDefault="002822FB" w:rsidP="002822FB">
      <w:pPr>
        <w:pStyle w:val="references"/>
      </w:pPr>
      <w:r w:rsidRPr="002822FB">
        <w:t xml:space="preserve">E. Lindahl, M. J. Abraham, B. Hess, and D. v. d. Spoel, “GROMACS User Manual Version 2019,” </w:t>
      </w:r>
      <w:r w:rsidRPr="00F35615">
        <w:t xml:space="preserve">December 2018. </w:t>
      </w:r>
      <w:hyperlink r:id="rId18" w:history="1">
        <w:r w:rsidRPr="00F35615">
          <w:rPr>
            <w:rStyle w:val="Hyperlink"/>
            <w:rFonts w:asciiTheme="majorBidi" w:hAnsiTheme="majorBidi" w:cstheme="majorBidi"/>
            <w:color w:val="auto"/>
            <w:u w:val="none"/>
          </w:rPr>
          <w:t>http://www.gromacs.org</w:t>
        </w:r>
      </w:hyperlink>
      <w:r w:rsidRPr="00F35615">
        <w:t>.</w:t>
      </w:r>
    </w:p>
    <w:p w14:paraId="2EE070FC" w14:textId="28FDF08F" w:rsidR="002822FB" w:rsidRPr="002822FB" w:rsidRDefault="002822FB" w:rsidP="00DB35C5">
      <w:pPr>
        <w:pStyle w:val="references"/>
      </w:pPr>
      <w:r w:rsidRPr="002822FB">
        <w:t>K. Lindorff‐Larsen, S. Piana, K. Palmo, P. Maragakis, J. L. Klepeis, R. O. Dror, and D. E. Shaw, “Improved side‐chain torsion potentials for the Amber ff99SB protein force field,” Proteins: Struct, Function, and Bioinformatics, vol. 78, no. 8, pp. 1950–1958, June 2010.</w:t>
      </w:r>
    </w:p>
    <w:p w14:paraId="735B4511" w14:textId="3F43FCC8" w:rsidR="002822FB" w:rsidRPr="002822FB" w:rsidRDefault="002822FB" w:rsidP="00DB35C5">
      <w:pPr>
        <w:pStyle w:val="references"/>
      </w:pPr>
      <w:r w:rsidRPr="002822FB">
        <w:t>D. A. Pearlman, D.A. Case, J.W. Caldwell, W.S. Ross, T.E. Cheatham III, S. DeBolt, D. Ferguson, G. Seibel, and P. Kollman, “AMBER, a package of computer programs for applying molecular mechanics, normal mode analysis, molecular dynamics and free energy calculations to simulate the structural and energetic properties of molecules,” Comput</w:t>
      </w:r>
      <w:r w:rsidR="00DB35C5">
        <w:t>.</w:t>
      </w:r>
      <w:r w:rsidRPr="002822FB">
        <w:t xml:space="preserve"> Phys Commun, vol. 91, no. 1-3, pp. 1–41, September 1995.</w:t>
      </w:r>
    </w:p>
    <w:p w14:paraId="0E7BF8DF" w14:textId="2DC1C9A6" w:rsidR="00D4236D" w:rsidRPr="002822FB" w:rsidRDefault="002822FB" w:rsidP="00DB35C5">
      <w:pPr>
        <w:pStyle w:val="references"/>
        <w:rPr>
          <w:rFonts w:asciiTheme="majorBidi" w:hAnsiTheme="majorBidi" w:cstheme="majorBidi"/>
          <w:sz w:val="20"/>
          <w:szCs w:val="20"/>
        </w:rPr>
      </w:pPr>
      <w:r w:rsidRPr="002822FB">
        <w:rPr>
          <w:lang w:bidi="fa-IR"/>
        </w:rPr>
        <w:t>P. A. Kollman, I. Massova, C. Reyes, B. Kuhn, S. Huo, L. Chong, M. Lee, T. Lee, Y. Duan, W. Wang, O. Donini, P. Cieplak, J. Srinivasan, D. A. Case, and T. E. Cheatham, “Calculating structures and free energies of complex molecules: combining molecular mechanics and continuum models,” Accounts</w:t>
      </w:r>
      <w:r w:rsidR="00DB35C5">
        <w:rPr>
          <w:lang w:bidi="fa-IR"/>
        </w:rPr>
        <w:t>. C</w:t>
      </w:r>
      <w:r w:rsidRPr="002822FB">
        <w:rPr>
          <w:lang w:bidi="fa-IR"/>
        </w:rPr>
        <w:t>hem</w:t>
      </w:r>
      <w:r w:rsidR="00DB35C5">
        <w:rPr>
          <w:lang w:bidi="fa-IR"/>
        </w:rPr>
        <w:t>. Res</w:t>
      </w:r>
      <w:r w:rsidRPr="002822FB">
        <w:rPr>
          <w:lang w:bidi="fa-IR"/>
        </w:rPr>
        <w:t xml:space="preserve">, vol. 33, no. 12, pp. 889–897, October 2000. </w:t>
      </w:r>
    </w:p>
    <w:sectPr w:rsidR="00D4236D" w:rsidRPr="002822FB" w:rsidSect="00D4236D">
      <w:type w:val="continuous"/>
      <w:pgSz w:w="595.30pt" w:h="841.90pt" w:code="9"/>
      <w:pgMar w:top="113.40pt" w:right="45.35pt" w:bottom="72pt" w:left="45.35pt" w:header="36pt" w:footer="36pt" w:gutter="0pt"/>
      <w:cols w:space="18pt"/>
      <w:docGrid w:linePitch="360"/>
    </w:sectPr>
  </w:body>
</w:document>
</file>

<file path=word/endnotes.xml><?xml version="1.0" encoding="utf-8"?>
<w:endnotes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endnote w:type="separator" w:id="-1">
    <w:p w14:paraId="46D8E328" w14:textId="77777777" w:rsidR="003C5928" w:rsidRDefault="003C5928" w:rsidP="001A3B3D">
      <w:r>
        <w:separator/>
      </w:r>
    </w:p>
  </w:endnote>
  <w:endnote w:type="continuationSeparator" w:id="0">
    <w:p w14:paraId="5A3AFD4D" w14:textId="77777777" w:rsidR="003C5928" w:rsidRDefault="003C5928" w:rsidP="001A3B3D">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se="http://schemas.microsoft.com/office/word/2015/wordml/symex" mc:Ignorable="w14 w15 w16se">
  <w:font w:name="Symbol">
    <w:panose1 w:val="05050102010706020507"/>
    <w:family w:val="roman"/>
    <w:pitch w:val="variable"/>
    <w:sig w:usb0="00000000" w:usb1="10000000" w:usb2="00000000" w:usb3="00000000" w:csb0="80000000" w:csb1="00000000"/>
  </w:font>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MS Mincho">
    <w:altName w:val="ＭＳ 明朝"/>
    <w:panose1 w:val="02020609040205080304"/>
    <w:charset w:characterSet="shift_jis"/>
    <w:family w:val="modern"/>
    <w:pitch w:val="fixed"/>
    <w:sig w:usb0="E00002FF" w:usb1="6AC7FDFB" w:usb2="08000012" w:usb3="00000000" w:csb0="0002009F" w:csb1="00000000"/>
  </w:font>
  <w:font w:name="B Nazanin">
    <w:panose1 w:val="00000400000000000000"/>
    <w:charset w:characterSet="windows-1256"/>
    <w:family w:val="auto"/>
    <w:pitch w:val="variable"/>
    <w:sig w:usb0="00002001" w:usb1="80000000" w:usb2="00000008" w:usb3="00000000" w:csb0="00000040" w:csb1="00000000"/>
  </w:font>
  <w:font w:name="B Titr">
    <w:panose1 w:val="00000700000000000000"/>
    <w:charset w:characterSet="windows-1256"/>
    <w:family w:val="auto"/>
    <w:pitch w:val="variable"/>
    <w:sig w:usb0="00002001" w:usb1="80000000" w:usb2="00000008" w:usb3="00000000" w:csb0="00000040" w:csb1="00000000"/>
  </w:font>
  <w:font w:name="Calibri">
    <w:panose1 w:val="020F0502020204030204"/>
    <w:charset w:characterSet="iso-8859-1"/>
    <w:family w:val="swiss"/>
    <w:pitch w:val="variable"/>
    <w:sig w:usb0="E4002EFF" w:usb1="C000247B" w:usb2="00000009" w:usb3="00000000" w:csb0="000001FF" w:csb1="00000000"/>
  </w:font>
  <w:font w:name="Calibri Light">
    <w:panose1 w:val="020F03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s>
</file>

<file path=word/footer1.xml><?xml version="1.0" encoding="utf-8"?>
<w:ft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414A63B8" w14:textId="77777777" w:rsidR="009B65D8" w:rsidRDefault="009B65D8">
    <w:pPr>
      <w:pStyle w:val="Footer"/>
    </w:pPr>
  </w:p>
</w:ftr>
</file>

<file path=word/footer2.xml><?xml version="1.0" encoding="utf-8"?>
<w:ft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177BF1AC" w14:textId="77777777" w:rsidR="005156EC" w:rsidRDefault="005156EC">
    <w:pPr>
      <w:pStyle w:val="Footer"/>
    </w:pPr>
    <w:r>
      <w:rPr>
        <w:noProof/>
      </w:rPr>
      <w:drawing>
        <wp:anchor distT="0" distB="0" distL="114300" distR="114300" simplePos="0" relativeHeight="251658240" behindDoc="1" locked="0" layoutInCell="1" allowOverlap="1" wp14:anchorId="323AB774" wp14:editId="119CB7E2">
          <wp:simplePos x="0" y="0"/>
          <wp:positionH relativeFrom="column">
            <wp:posOffset>-571500</wp:posOffset>
          </wp:positionH>
          <wp:positionV relativeFrom="paragraph">
            <wp:posOffset>105410</wp:posOffset>
          </wp:positionV>
          <wp:extent cx="7559675" cy="488540"/>
          <wp:effectExtent l="0" t="0" r="3175" b="6985"/>
          <wp:wrapNone/>
          <wp:docPr id="16" name="Picture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9" name="foot1.png"/>
                  <pic:cNvPicPr/>
                </pic:nvPicPr>
                <pic:blipFill>
                  <a:blip r:embed="rId1">
                    <a:extLst>
                      <a:ext uri="{28A0092B-C50C-407E-A947-70E740481C1C}">
                        <a14:useLocalDpi xmlns:a14="http://schemas.microsoft.com/office/drawing/2010/main" val="0"/>
                      </a:ext>
                    </a:extLst>
                  </a:blip>
                  <a:stretch>
                    <a:fillRect/>
                  </a:stretch>
                </pic:blipFill>
                <pic:spPr>
                  <a:xfrm>
                    <a:off x="0" y="0"/>
                    <a:ext cx="7559675" cy="48854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780762CA" w14:textId="77777777" w:rsidR="001A3B3D" w:rsidRPr="006F6D3D" w:rsidRDefault="005156EC" w:rsidP="0056610F">
    <w:pPr>
      <w:pStyle w:val="Footer"/>
      <w:jc w:val="start"/>
      <w:rPr>
        <w:sz w:val="16"/>
        <w:szCs w:val="16"/>
      </w:rPr>
    </w:pPr>
    <w:r>
      <w:rPr>
        <w:noProof/>
        <w:sz w:val="16"/>
        <w:szCs w:val="16"/>
      </w:rPr>
      <w:drawing>
        <wp:anchor distT="0" distB="0" distL="114300" distR="114300" simplePos="0" relativeHeight="251656192" behindDoc="1" locked="0" layoutInCell="1" allowOverlap="1" wp14:anchorId="59A5A8EF" wp14:editId="434EC70B">
          <wp:simplePos x="0" y="0"/>
          <wp:positionH relativeFrom="column">
            <wp:posOffset>-682625</wp:posOffset>
          </wp:positionH>
          <wp:positionV relativeFrom="paragraph">
            <wp:posOffset>149860</wp:posOffset>
          </wp:positionV>
          <wp:extent cx="7663815" cy="495300"/>
          <wp:effectExtent l="0" t="0" r="0" b="0"/>
          <wp:wrapNone/>
          <wp:docPr id="17" name="Picture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6" name="foot1.png"/>
                  <pic:cNvPicPr/>
                </pic:nvPicPr>
                <pic:blipFill>
                  <a:blip r:embed="rId1">
                    <a:extLst>
                      <a:ext uri="{28A0092B-C50C-407E-A947-70E740481C1C}">
                        <a14:useLocalDpi xmlns:a14="http://schemas.microsoft.com/office/drawing/2010/main" val="0"/>
                      </a:ext>
                    </a:extLst>
                  </a:blip>
                  <a:stretch>
                    <a:fillRect/>
                  </a:stretch>
                </pic:blipFill>
                <pic:spPr>
                  <a:xfrm>
                    <a:off x="0" y="0"/>
                    <a:ext cx="7663815" cy="495300"/>
                  </a:xfrm>
                  <a:prstGeom prst="rect">
                    <a:avLst/>
                  </a:prstGeom>
                </pic:spPr>
              </pic:pic>
            </a:graphicData>
          </a:graphic>
          <wp14:sizeRelH relativeFrom="page">
            <wp14:pctWidth>0%</wp14:pctWidth>
          </wp14:sizeRelH>
          <wp14:sizeRelV relativeFrom="page">
            <wp14:pctHeight>0%</wp14:pctHeight>
          </wp14:sizeRelV>
        </wp:anchor>
      </w:drawing>
    </w:r>
    <w:r w:rsidR="001A3B3D" w:rsidRPr="006F6D3D">
      <w:rPr>
        <w:sz w:val="16"/>
        <w:szCs w:val="16"/>
      </w:rPr>
      <w:t>XXX-X-XXXX-XXXX-X/XX/$XX.00 ©20XX IEEE</w:t>
    </w:r>
  </w:p>
</w:ftr>
</file>

<file path=word/footnotes.xml><?xml version="1.0" encoding="utf-8"?>
<w:footnotes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footnote w:type="separator" w:id="-1">
    <w:p w14:paraId="24A553FD" w14:textId="77777777" w:rsidR="003C5928" w:rsidRDefault="003C5928" w:rsidP="001A3B3D">
      <w:r>
        <w:separator/>
      </w:r>
    </w:p>
  </w:footnote>
  <w:footnote w:type="continuationSeparator" w:id="0">
    <w:p w14:paraId="45D8627A" w14:textId="77777777" w:rsidR="003C5928" w:rsidRDefault="003C5928" w:rsidP="001A3B3D">
      <w:r>
        <w:continuationSeparator/>
      </w:r>
    </w:p>
  </w:footnote>
</w:footnotes>
</file>

<file path=word/header1.xml><?xml version="1.0" encoding="utf-8"?>
<w:hd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02070A8E" w14:textId="77777777" w:rsidR="009B65D8" w:rsidRDefault="009B65D8">
    <w:pPr>
      <w:pStyle w:val="Header"/>
    </w:pPr>
  </w:p>
</w:hdr>
</file>

<file path=word/header2.xml><?xml version="1.0" encoding="utf-8"?>
<w:hd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4CACF929" w14:textId="0AF18005" w:rsidR="005156EC" w:rsidRPr="005156EC" w:rsidRDefault="005156EC" w:rsidP="008B4B9A">
    <w:pPr>
      <w:pStyle w:val="Header"/>
      <w:rPr>
        <w:sz w:val="16"/>
        <w:rtl/>
        <w:lang w:bidi="fa-IR"/>
      </w:rPr>
    </w:pPr>
    <w:r>
      <w:rPr>
        <w:noProof/>
        <w:rtl/>
      </w:rPr>
      <w:drawing>
        <wp:anchor distT="0" distB="0" distL="114300" distR="114300" simplePos="0" relativeHeight="251657216" behindDoc="1" locked="0" layoutInCell="1" allowOverlap="1" wp14:anchorId="2383D816" wp14:editId="14058136">
          <wp:simplePos x="0" y="0"/>
          <wp:positionH relativeFrom="column">
            <wp:posOffset>-576580</wp:posOffset>
          </wp:positionH>
          <wp:positionV relativeFrom="paragraph">
            <wp:posOffset>-485775</wp:posOffset>
          </wp:positionV>
          <wp:extent cx="7620000" cy="1223645"/>
          <wp:effectExtent l="0" t="0" r="0" b="0"/>
          <wp:wrapNone/>
          <wp:docPr id="15" name="Picture 1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8" name="head2.png"/>
                  <pic:cNvPicPr/>
                </pic:nvPicPr>
                <pic:blipFill>
                  <a:blip r:embed="rId1">
                    <a:extLst>
                      <a:ext uri="{28A0092B-C50C-407E-A947-70E740481C1C}">
                        <a14:useLocalDpi xmlns:a14="http://schemas.microsoft.com/office/drawing/2010/main" val="0"/>
                      </a:ext>
                    </a:extLst>
                  </a:blip>
                  <a:stretch>
                    <a:fillRect/>
                  </a:stretch>
                </pic:blipFill>
                <pic:spPr>
                  <a:xfrm>
                    <a:off x="0" y="0"/>
                    <a:ext cx="7620000" cy="1223645"/>
                  </a:xfrm>
                  <a:prstGeom prst="rect">
                    <a:avLst/>
                  </a:prstGeom>
                </pic:spPr>
              </pic:pic>
            </a:graphicData>
          </a:graphic>
          <wp14:sizeRelH relativeFrom="page">
            <wp14:pctWidth>0%</wp14:pctWidth>
          </wp14:sizeRelH>
          <wp14:sizeRelV relativeFrom="page">
            <wp14:pctHeight>0%</wp14:pctHeight>
          </wp14:sizeRelV>
        </wp:anchor>
      </w:drawing>
    </w:r>
    <w:r w:rsidR="008B4B9A">
      <w:rPr>
        <w:sz w:val="16"/>
        <w:lang w:bidi="fa-IR"/>
      </w:rPr>
      <w:t>Karami,</w:t>
    </w:r>
    <w:r w:rsidRPr="005156EC">
      <w:rPr>
        <w:sz w:val="16"/>
        <w:lang w:bidi="fa-IR"/>
      </w:rPr>
      <w:t xml:space="preserve"> </w:t>
    </w:r>
    <w:r w:rsidR="008B4B9A">
      <w:rPr>
        <w:sz w:val="16"/>
        <w:lang w:bidi="fa-IR"/>
      </w:rPr>
      <w:t>In-</w:t>
    </w:r>
    <w:proofErr w:type="spellStart"/>
    <w:r w:rsidR="008B4B9A">
      <w:rPr>
        <w:sz w:val="16"/>
        <w:lang w:bidi="fa-IR"/>
      </w:rPr>
      <w:t>silico</w:t>
    </w:r>
    <w:proofErr w:type="spellEnd"/>
    <w:r w:rsidR="008B4B9A">
      <w:rPr>
        <w:sz w:val="16"/>
        <w:lang w:bidi="fa-IR"/>
      </w:rPr>
      <w:t xml:space="preserve"> study of some fluoroquinolones against COVID-19</w:t>
    </w:r>
    <w:r w:rsidRPr="005156EC">
      <w:rPr>
        <w:rFonts w:hint="cs"/>
        <w:sz w:val="16"/>
        <w:rtl/>
        <w:lang w:bidi="fa-IR"/>
      </w:rPr>
      <w:t xml:space="preserve"> </w:t>
    </w:r>
  </w:p>
  <w:p w14:paraId="22DF723D" w14:textId="77777777" w:rsidR="004C667C" w:rsidRPr="005156EC" w:rsidRDefault="004C667C" w:rsidP="005156EC">
    <w:pPr>
      <w:pStyle w:val="Header"/>
      <w:rPr>
        <w:rtl/>
      </w:rPr>
    </w:pPr>
  </w:p>
</w:hdr>
</file>

<file path=word/header3.xml><?xml version="1.0" encoding="utf-8"?>
<w:hdr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14:paraId="7FC0EDA8" w14:textId="57D166BB" w:rsidR="006C0C76" w:rsidRPr="00696FD9" w:rsidRDefault="003C5928" w:rsidP="006C0C76">
    <w:pPr>
      <w:pStyle w:val="Header"/>
      <w:ind w:start="-33.50pt" w:firstLine="13.50pt"/>
      <w:rPr>
        <w:rFonts w:asciiTheme="majorBidi" w:hAnsiTheme="majorBidi" w:cstheme="majorBidi"/>
        <w:b/>
        <w:bCs/>
        <w:color w:val="333333"/>
        <w:sz w:val="28"/>
        <w:szCs w:val="28"/>
      </w:rPr>
    </w:pPr>
    <w:r>
      <w:rPr>
        <w:rFonts w:asciiTheme="majorBidi" w:hAnsiTheme="majorBidi" w:cstheme="majorBidi"/>
        <w:noProof/>
        <w:sz w:val="22"/>
        <w:szCs w:val="22"/>
      </w:rPr>
      <mc:AlternateContent>
        <mc:Choice Requires="v">
          <w:pict w14:anchorId="25A9D7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810455" o:spid="_x0000_s3073" type="#_x0000_t75" style="position:absolute;left:0;text-align:left;margin-left:-45pt;margin-top:-113.3pt;width:595.2pt;height:845.6pt;z-index:-251657216;mso-position-horizontal-relative:margin;mso-position-vertical-relative:margin" o:allowincell="f">
              <v:imagedata r:id="rId1" o:title="en art_"/>
              <w10:wrap anchorx="margin" anchory="margin"/>
            </v:shape>
          </w:pict>
        </mc:Choice>
        <mc:Fallback>
          <w:drawing>
            <wp:anchor distT="0" distB="0" distL="114300" distR="114300" simplePos="0" relativeHeight="251661312" behindDoc="1" locked="0" layoutInCell="0" allowOverlap="1" wp14:anchorId="43DABDDA" wp14:editId="7E98F322">
              <wp:simplePos x="0" y="0"/>
              <wp:positionH relativeFrom="margin">
                <wp:posOffset>-571500</wp:posOffset>
              </wp:positionH>
              <wp:positionV relativeFrom="margin">
                <wp:posOffset>-1438910</wp:posOffset>
              </wp:positionV>
              <wp:extent cx="7559040" cy="10739120"/>
              <wp:effectExtent l="0" t="0" r="3810" b="5080"/>
              <wp:wrapNone/>
              <wp:docPr id="1025" name="WordPictureWatermark4810455" descr="en art_"/>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WordPictureWatermark4810455" descr="en art_"/>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040" cy="10739120"/>
                      </a:xfrm>
                      <a:prstGeom prst="rect">
                        <a:avLst/>
                      </a:prstGeom>
                      <a:noFill/>
                    </pic:spPr>
                  </pic:pic>
                </a:graphicData>
              </a:graphic>
              <wp14:sizeRelH relativeFrom="page">
                <wp14:pctWidth>0%</wp14:pctWidth>
              </wp14:sizeRelH>
              <wp14:sizeRelV relativeFrom="page">
                <wp14:pctHeight>0%</wp14:pctHeight>
              </wp14:sizeRelV>
            </wp:anchor>
          </w:drawing>
        </mc:Fallback>
      </mc:AlternateContent>
    </w:r>
    <w:r w:rsidR="006C0C76" w:rsidRPr="00696FD9">
      <w:rPr>
        <w:rFonts w:asciiTheme="majorBidi" w:hAnsiTheme="majorBidi" w:cstheme="majorBidi"/>
        <w:b/>
        <w:bCs/>
        <w:color w:val="333333"/>
        <w:sz w:val="28"/>
        <w:szCs w:val="28"/>
      </w:rPr>
      <w:t>The 1st International and 3rd National Conference on Biomathematics</w:t>
    </w:r>
  </w:p>
  <w:p w14:paraId="71447BAC" w14:textId="0F7908E7" w:rsidR="006423C3" w:rsidRPr="00696FD9" w:rsidRDefault="006C0C76" w:rsidP="006C0C76">
    <w:pPr>
      <w:pStyle w:val="Header"/>
      <w:tabs>
        <w:tab w:val="start" w:pos="239.40pt"/>
        <w:tab w:val="center" w:pos="253pt"/>
      </w:tabs>
      <w:rPr>
        <w:rFonts w:asciiTheme="majorBidi" w:hAnsiTheme="majorBidi" w:cstheme="majorBidi"/>
      </w:rPr>
    </w:pPr>
    <w:r w:rsidRPr="00696FD9">
      <w:rPr>
        <w:rFonts w:asciiTheme="majorBidi" w:hAnsiTheme="majorBidi" w:cstheme="majorBidi"/>
        <w:color w:val="333333"/>
        <w:sz w:val="24"/>
        <w:szCs w:val="24"/>
      </w:rPr>
      <w:t xml:space="preserve">19-21 January 2022, </w:t>
    </w:r>
    <w:proofErr w:type="spellStart"/>
    <w:r w:rsidRPr="00696FD9">
      <w:rPr>
        <w:rFonts w:asciiTheme="majorBidi" w:hAnsiTheme="majorBidi" w:cstheme="majorBidi"/>
        <w:color w:val="333333"/>
        <w:sz w:val="24"/>
        <w:szCs w:val="24"/>
      </w:rPr>
      <w:t>Damghan</w:t>
    </w:r>
    <w:proofErr w:type="spellEnd"/>
    <w:r w:rsidRPr="00696FD9">
      <w:rPr>
        <w:rFonts w:asciiTheme="majorBidi" w:hAnsiTheme="majorBidi" w:cstheme="majorBidi"/>
        <w:color w:val="333333"/>
        <w:sz w:val="24"/>
        <w:szCs w:val="24"/>
      </w:rPr>
      <w:t xml:space="preserve"> </w:t>
    </w:r>
    <w:r w:rsidR="00B55AAF">
      <w:rPr>
        <w:rFonts w:asciiTheme="majorBidi" w:hAnsiTheme="majorBidi" w:cstheme="majorBidi"/>
        <w:color w:val="333333"/>
        <w:sz w:val="24"/>
        <w:szCs w:val="24"/>
      </w:rPr>
      <w:t>U</w:t>
    </w:r>
    <w:r w:rsidRPr="00696FD9">
      <w:rPr>
        <w:rFonts w:asciiTheme="majorBidi" w:hAnsiTheme="majorBidi" w:cstheme="majorBidi"/>
        <w:color w:val="333333"/>
        <w:sz w:val="24"/>
        <w:szCs w:val="24"/>
      </w:rPr>
      <w:t>niversity</w:t>
    </w:r>
    <w:r w:rsidR="007036D4" w:rsidRPr="00696FD9">
      <w:rPr>
        <w:rFonts w:asciiTheme="majorBidi" w:hAnsiTheme="majorBidi" w:cstheme="majorBidi"/>
        <w:color w:val="333333"/>
        <w:sz w:val="24"/>
        <w:szCs w:val="24"/>
      </w:rPr>
      <w:t>, Iran.</w:t>
    </w:r>
  </w:p>
</w:hdr>
</file>

<file path=word/numbering.xml><?xml version="1.0" encoding="utf-8"?>
<w:numbering xmlns:cx="http://schemas.microsoft.com/office/drawing/2014/chartex"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abstractNum w:abstractNumId="0" w15:restartNumberingAfterBreak="0">
    <w:nsid w:val="FFFFFF1D"/>
    <w:multiLevelType w:val="multilevel"/>
    <w:tmpl w:val="7A36CE9E"/>
    <w:lvl w:ilvl="0">
      <w:start w:val="1"/>
      <w:numFmt w:val="bullet"/>
      <w:lvlText w:val=""/>
      <w:lvlJc w:val="start"/>
      <w:pPr>
        <w:tabs>
          <w:tab w:val="num" w:pos="0pt"/>
        </w:tabs>
        <w:ind w:start="0pt" w:firstLine="0pt"/>
      </w:pPr>
      <w:rPr>
        <w:rFonts w:ascii="Symbol" w:hAnsi="Symbol" w:hint="default"/>
      </w:rPr>
    </w:lvl>
    <w:lvl w:ilvl="1">
      <w:start w:val="1"/>
      <w:numFmt w:val="bullet"/>
      <w:lvlText w:val=""/>
      <w:lvlJc w:val="start"/>
      <w:pPr>
        <w:tabs>
          <w:tab w:val="num" w:pos="36pt"/>
        </w:tabs>
        <w:ind w:start="54pt" w:hanging="18pt"/>
      </w:pPr>
      <w:rPr>
        <w:rFonts w:ascii="Symbol" w:hAnsi="Symbol" w:hint="default"/>
      </w:rPr>
    </w:lvl>
    <w:lvl w:ilvl="2">
      <w:start w:val="1"/>
      <w:numFmt w:val="bullet"/>
      <w:lvlText w:val="o"/>
      <w:lvlJc w:val="start"/>
      <w:pPr>
        <w:tabs>
          <w:tab w:val="num" w:pos="72pt"/>
        </w:tabs>
        <w:ind w:start="90pt" w:hanging="18pt"/>
      </w:pPr>
      <w:rPr>
        <w:rFonts w:ascii="Courier New" w:hAnsi="Courier New" w:cs="Courier New" w:hint="default"/>
      </w:rPr>
    </w:lvl>
    <w:lvl w:ilvl="3">
      <w:start w:val="1"/>
      <w:numFmt w:val="bullet"/>
      <w:lvlText w:val=""/>
      <w:lvlJc w:val="start"/>
      <w:pPr>
        <w:tabs>
          <w:tab w:val="num" w:pos="108pt"/>
        </w:tabs>
        <w:ind w:start="126pt" w:hanging="18pt"/>
      </w:pPr>
      <w:rPr>
        <w:rFonts w:ascii="Wingdings" w:hAnsi="Wingdings" w:hint="default"/>
      </w:rPr>
    </w:lvl>
    <w:lvl w:ilvl="4">
      <w:start w:val="1"/>
      <w:numFmt w:val="bullet"/>
      <w:lvlText w:val=""/>
      <w:lvlJc w:val="start"/>
      <w:pPr>
        <w:tabs>
          <w:tab w:val="num" w:pos="144pt"/>
        </w:tabs>
        <w:ind w:start="162pt" w:hanging="18pt"/>
      </w:pPr>
      <w:rPr>
        <w:rFonts w:ascii="Wingdings" w:hAnsi="Wingdings" w:hint="default"/>
      </w:rPr>
    </w:lvl>
    <w:lvl w:ilvl="5">
      <w:start w:val="1"/>
      <w:numFmt w:val="bullet"/>
      <w:lvlText w:val=""/>
      <w:lvlJc w:val="start"/>
      <w:pPr>
        <w:tabs>
          <w:tab w:val="num" w:pos="180pt"/>
        </w:tabs>
        <w:ind w:start="198pt" w:hanging="18pt"/>
      </w:pPr>
      <w:rPr>
        <w:rFonts w:ascii="Symbol" w:hAnsi="Symbol" w:hint="default"/>
      </w:rPr>
    </w:lvl>
    <w:lvl w:ilvl="6">
      <w:start w:val="1"/>
      <w:numFmt w:val="bullet"/>
      <w:lvlText w:val="o"/>
      <w:lvlJc w:val="start"/>
      <w:pPr>
        <w:tabs>
          <w:tab w:val="num" w:pos="216pt"/>
        </w:tabs>
        <w:ind w:start="234pt" w:hanging="18pt"/>
      </w:pPr>
      <w:rPr>
        <w:rFonts w:ascii="Courier New" w:hAnsi="Courier New" w:cs="Courier New" w:hint="default"/>
      </w:rPr>
    </w:lvl>
    <w:lvl w:ilvl="7">
      <w:start w:val="1"/>
      <w:numFmt w:val="bullet"/>
      <w:lvlText w:val=""/>
      <w:lvlJc w:val="start"/>
      <w:pPr>
        <w:tabs>
          <w:tab w:val="num" w:pos="252pt"/>
        </w:tabs>
        <w:ind w:start="270pt" w:hanging="18pt"/>
      </w:pPr>
      <w:rPr>
        <w:rFonts w:ascii="Wingdings" w:hAnsi="Wingdings" w:hint="default"/>
      </w:rPr>
    </w:lvl>
    <w:lvl w:ilvl="8">
      <w:start w:val="1"/>
      <w:numFmt w:val="bullet"/>
      <w:lvlText w:val=""/>
      <w:lvlJc w:val="start"/>
      <w:pPr>
        <w:tabs>
          <w:tab w:val="num" w:pos="288pt"/>
        </w:tabs>
        <w:ind w:start="306pt" w:hanging="18pt"/>
      </w:pPr>
      <w:rPr>
        <w:rFonts w:ascii="Wingdings" w:hAnsi="Wingdings" w:hint="default"/>
      </w:rPr>
    </w:lvl>
  </w:abstractNum>
  <w:abstractNum w:abstractNumId="1" w15:restartNumberingAfterBreak="0">
    <w:nsid w:val="FFFFFF7C"/>
    <w:multiLevelType w:val="singleLevel"/>
    <w:tmpl w:val="DD629BEE"/>
    <w:lvl w:ilvl="0">
      <w:start w:val="1"/>
      <w:numFmt w:val="decimal"/>
      <w:lvlText w:val="%1."/>
      <w:lvlJc w:val="start"/>
      <w:pPr>
        <w:tabs>
          <w:tab w:val="num" w:pos="74.60pt"/>
        </w:tabs>
        <w:ind w:start="74.60pt" w:hanging="18pt"/>
      </w:pPr>
    </w:lvl>
  </w:abstractNum>
  <w:abstractNum w:abstractNumId="2" w15:restartNumberingAfterBreak="0">
    <w:nsid w:val="FFFFFF7D"/>
    <w:multiLevelType w:val="singleLevel"/>
    <w:tmpl w:val="2648E1C4"/>
    <w:lvl w:ilvl="0">
      <w:start w:val="1"/>
      <w:numFmt w:val="decimal"/>
      <w:lvlText w:val="%1."/>
      <w:lvlJc w:val="start"/>
      <w:pPr>
        <w:tabs>
          <w:tab w:val="num" w:pos="60.45pt"/>
        </w:tabs>
        <w:ind w:start="60.45pt" w:hanging="18pt"/>
      </w:pPr>
    </w:lvl>
  </w:abstractNum>
  <w:abstractNum w:abstractNumId="3" w15:restartNumberingAfterBreak="0">
    <w:nsid w:val="FFFFFF7E"/>
    <w:multiLevelType w:val="singleLevel"/>
    <w:tmpl w:val="9D38DB54"/>
    <w:lvl w:ilvl="0">
      <w:start w:val="1"/>
      <w:numFmt w:val="decimal"/>
      <w:lvlText w:val="%1."/>
      <w:lvlJc w:val="start"/>
      <w:pPr>
        <w:tabs>
          <w:tab w:val="num" w:pos="46.30pt"/>
        </w:tabs>
        <w:ind w:start="46.30pt" w:hanging="18pt"/>
      </w:pPr>
    </w:lvl>
  </w:abstractNum>
  <w:abstractNum w:abstractNumId="4" w15:restartNumberingAfterBreak="0">
    <w:nsid w:val="FFFFFF7F"/>
    <w:multiLevelType w:val="singleLevel"/>
    <w:tmpl w:val="632C24E2"/>
    <w:lvl w:ilvl="0">
      <w:start w:val="1"/>
      <w:numFmt w:val="decimal"/>
      <w:lvlText w:val="%1."/>
      <w:lvlJc w:val="start"/>
      <w:pPr>
        <w:tabs>
          <w:tab w:val="num" w:pos="32.15pt"/>
        </w:tabs>
        <w:ind w:start="32.15pt" w:hanging="18pt"/>
      </w:pPr>
    </w:lvl>
  </w:abstractNum>
  <w:abstractNum w:abstractNumId="5" w15:restartNumberingAfterBreak="0">
    <w:nsid w:val="FFFFFF80"/>
    <w:multiLevelType w:val="singleLevel"/>
    <w:tmpl w:val="82268A14"/>
    <w:lvl w:ilvl="0">
      <w:start w:val="1"/>
      <w:numFmt w:val="bullet"/>
      <w:lvlText w:val=""/>
      <w:lvlJc w:val="start"/>
      <w:pPr>
        <w:tabs>
          <w:tab w:val="num" w:pos="74.60pt"/>
        </w:tabs>
        <w:ind w:start="74.60pt" w:hanging="18pt"/>
      </w:pPr>
      <w:rPr>
        <w:rFonts w:ascii="Symbol" w:hAnsi="Symbol" w:hint="default"/>
      </w:rPr>
    </w:lvl>
  </w:abstractNum>
  <w:abstractNum w:abstractNumId="6" w15:restartNumberingAfterBreak="0">
    <w:nsid w:val="FFFFFF81"/>
    <w:multiLevelType w:val="singleLevel"/>
    <w:tmpl w:val="8C0E77FE"/>
    <w:lvl w:ilvl="0">
      <w:start w:val="1"/>
      <w:numFmt w:val="bullet"/>
      <w:lvlText w:val=""/>
      <w:lvlJc w:val="start"/>
      <w:pPr>
        <w:tabs>
          <w:tab w:val="num" w:pos="60.45pt"/>
        </w:tabs>
        <w:ind w:start="60.45pt" w:hanging="18pt"/>
      </w:pPr>
      <w:rPr>
        <w:rFonts w:ascii="Symbol" w:hAnsi="Symbol" w:hint="default"/>
      </w:rPr>
    </w:lvl>
  </w:abstractNum>
  <w:abstractNum w:abstractNumId="7" w15:restartNumberingAfterBreak="0">
    <w:nsid w:val="FFFFFF82"/>
    <w:multiLevelType w:val="singleLevel"/>
    <w:tmpl w:val="174639B8"/>
    <w:lvl w:ilvl="0">
      <w:start w:val="1"/>
      <w:numFmt w:val="bullet"/>
      <w:lvlText w:val=""/>
      <w:lvlJc w:val="start"/>
      <w:pPr>
        <w:tabs>
          <w:tab w:val="num" w:pos="46.30pt"/>
        </w:tabs>
        <w:ind w:start="46.30pt" w:hanging="18pt"/>
      </w:pPr>
      <w:rPr>
        <w:rFonts w:ascii="Symbol" w:hAnsi="Symbol" w:hint="default"/>
      </w:rPr>
    </w:lvl>
  </w:abstractNum>
  <w:abstractNum w:abstractNumId="8" w15:restartNumberingAfterBreak="0">
    <w:nsid w:val="FFFFFF83"/>
    <w:multiLevelType w:val="singleLevel"/>
    <w:tmpl w:val="B1ACC408"/>
    <w:lvl w:ilvl="0">
      <w:start w:val="1"/>
      <w:numFmt w:val="bullet"/>
      <w:lvlText w:val=""/>
      <w:lvlJc w:val="start"/>
      <w:pPr>
        <w:tabs>
          <w:tab w:val="num" w:pos="32.15pt"/>
        </w:tabs>
        <w:ind w:start="32.15pt" w:hanging="18pt"/>
      </w:pPr>
      <w:rPr>
        <w:rFonts w:ascii="Symbol" w:hAnsi="Symbol" w:hint="default"/>
      </w:rPr>
    </w:lvl>
  </w:abstractNum>
  <w:abstractNum w:abstractNumId="9" w15:restartNumberingAfterBreak="0">
    <w:nsid w:val="FFFFFF88"/>
    <w:multiLevelType w:val="singleLevel"/>
    <w:tmpl w:val="229E8DFE"/>
    <w:lvl w:ilvl="0">
      <w:start w:val="1"/>
      <w:numFmt w:val="decimal"/>
      <w:lvlText w:val="%1."/>
      <w:lvlJc w:val="start"/>
      <w:pPr>
        <w:tabs>
          <w:tab w:val="num" w:pos="18pt"/>
        </w:tabs>
        <w:ind w:start="18pt" w:hanging="18pt"/>
      </w:pPr>
    </w:lvl>
  </w:abstractNum>
  <w:abstractNum w:abstractNumId="10" w15:restartNumberingAfterBreak="0">
    <w:nsid w:val="FFFFFF89"/>
    <w:multiLevelType w:val="singleLevel"/>
    <w:tmpl w:val="EA847AFE"/>
    <w:lvl w:ilvl="0">
      <w:start w:val="1"/>
      <w:numFmt w:val="bullet"/>
      <w:lvlText w:val=""/>
      <w:lvlJc w:val="start"/>
      <w:pPr>
        <w:tabs>
          <w:tab w:val="num" w:pos="18pt"/>
        </w:tabs>
        <w:ind w:start="18pt" w:hanging="18pt"/>
      </w:pPr>
      <w:rPr>
        <w:rFonts w:ascii="Symbol" w:hAnsi="Symbol" w:hint="default"/>
      </w:rPr>
    </w:lvl>
  </w:abstractNum>
  <w:abstractNum w:abstractNumId="11" w15:restartNumberingAfterBreak="0">
    <w:nsid w:val="1E177E97"/>
    <w:multiLevelType w:val="hybridMultilevel"/>
    <w:tmpl w:val="A6463BCE"/>
    <w:lvl w:ilvl="0" w:tplc="04140013">
      <w:start w:val="1"/>
      <w:numFmt w:val="upperRoman"/>
      <w:lvlText w:val="%1."/>
      <w:lvlJc w:val="end"/>
      <w:pPr>
        <w:ind w:start="46.80pt" w:hanging="18pt"/>
      </w:pPr>
    </w:lvl>
    <w:lvl w:ilvl="1" w:tplc="04140019" w:tentative="1">
      <w:start w:val="1"/>
      <w:numFmt w:val="lowerLetter"/>
      <w:lvlText w:val="%2."/>
      <w:lvlJc w:val="start"/>
      <w:pPr>
        <w:ind w:start="82.80pt" w:hanging="18pt"/>
      </w:pPr>
    </w:lvl>
    <w:lvl w:ilvl="2" w:tplc="0414001B" w:tentative="1">
      <w:start w:val="1"/>
      <w:numFmt w:val="lowerRoman"/>
      <w:lvlText w:val="%3."/>
      <w:lvlJc w:val="end"/>
      <w:pPr>
        <w:ind w:start="118.80pt" w:hanging="9pt"/>
      </w:pPr>
    </w:lvl>
    <w:lvl w:ilvl="3" w:tplc="0414000F" w:tentative="1">
      <w:start w:val="1"/>
      <w:numFmt w:val="decimal"/>
      <w:lvlText w:val="%4."/>
      <w:lvlJc w:val="start"/>
      <w:pPr>
        <w:ind w:start="154.80pt" w:hanging="18pt"/>
      </w:pPr>
    </w:lvl>
    <w:lvl w:ilvl="4" w:tplc="04140019" w:tentative="1">
      <w:start w:val="1"/>
      <w:numFmt w:val="lowerLetter"/>
      <w:lvlText w:val="%5."/>
      <w:lvlJc w:val="start"/>
      <w:pPr>
        <w:ind w:start="190.80pt" w:hanging="18pt"/>
      </w:pPr>
    </w:lvl>
    <w:lvl w:ilvl="5" w:tplc="0414001B" w:tentative="1">
      <w:start w:val="1"/>
      <w:numFmt w:val="lowerRoman"/>
      <w:lvlText w:val="%6."/>
      <w:lvlJc w:val="end"/>
      <w:pPr>
        <w:ind w:start="226.80pt" w:hanging="9pt"/>
      </w:pPr>
    </w:lvl>
    <w:lvl w:ilvl="6" w:tplc="0414000F" w:tentative="1">
      <w:start w:val="1"/>
      <w:numFmt w:val="decimal"/>
      <w:lvlText w:val="%7."/>
      <w:lvlJc w:val="start"/>
      <w:pPr>
        <w:ind w:start="262.80pt" w:hanging="18pt"/>
      </w:pPr>
    </w:lvl>
    <w:lvl w:ilvl="7" w:tplc="04140019" w:tentative="1">
      <w:start w:val="1"/>
      <w:numFmt w:val="lowerLetter"/>
      <w:lvlText w:val="%8."/>
      <w:lvlJc w:val="start"/>
      <w:pPr>
        <w:ind w:start="298.80pt" w:hanging="18pt"/>
      </w:pPr>
    </w:lvl>
    <w:lvl w:ilvl="8" w:tplc="0414001B" w:tentative="1">
      <w:start w:val="1"/>
      <w:numFmt w:val="lowerRoman"/>
      <w:lvlText w:val="%9."/>
      <w:lvlJc w:val="end"/>
      <w:pPr>
        <w:ind w:start="334.80pt" w:hanging="9pt"/>
      </w:pPr>
    </w:lvl>
  </w:abstractNum>
  <w:abstractNum w:abstractNumId="12" w15:restartNumberingAfterBreak="0">
    <w:nsid w:val="20AF0333"/>
    <w:multiLevelType w:val="hybridMultilevel"/>
    <w:tmpl w:val="CB0E7F4E"/>
    <w:lvl w:ilvl="0" w:tplc="E09099E0">
      <w:start w:val="1"/>
      <w:numFmt w:val="lowerLetter"/>
      <w:lvlText w:val="%1."/>
      <w:lvlJc w:val="start"/>
      <w:pPr>
        <w:tabs>
          <w:tab w:val="num" w:pos="36pt"/>
        </w:tabs>
        <w:ind w:start="36pt" w:hanging="18pt"/>
      </w:pPr>
      <w:rPr>
        <w:rFonts w:cs="Times New Roman" w:hint="default"/>
        <w:i w:val="0"/>
        <w:iCs w:val="0"/>
      </w:rPr>
    </w:lvl>
    <w:lvl w:ilvl="1" w:tplc="04090019">
      <w:start w:val="1"/>
      <w:numFmt w:val="lowerLetter"/>
      <w:lvlText w:val="%2."/>
      <w:lvlJc w:val="start"/>
      <w:pPr>
        <w:tabs>
          <w:tab w:val="num" w:pos="72pt"/>
        </w:tabs>
        <w:ind w:start="72pt" w:hanging="18pt"/>
      </w:pPr>
      <w:rPr>
        <w:rFonts w:cs="Times New Roman"/>
      </w:rPr>
    </w:lvl>
    <w:lvl w:ilvl="2" w:tplc="0409001B">
      <w:start w:val="1"/>
      <w:numFmt w:val="lowerRoman"/>
      <w:lvlText w:val="%3."/>
      <w:lvlJc w:val="end"/>
      <w:pPr>
        <w:tabs>
          <w:tab w:val="num" w:pos="108pt"/>
        </w:tabs>
        <w:ind w:start="108pt" w:hanging="9pt"/>
      </w:pPr>
      <w:rPr>
        <w:rFonts w:cs="Times New Roman"/>
      </w:rPr>
    </w:lvl>
    <w:lvl w:ilvl="3" w:tplc="0409000F">
      <w:start w:val="1"/>
      <w:numFmt w:val="decimal"/>
      <w:lvlText w:val="%4."/>
      <w:lvlJc w:val="start"/>
      <w:pPr>
        <w:tabs>
          <w:tab w:val="num" w:pos="144pt"/>
        </w:tabs>
        <w:ind w:start="144pt" w:hanging="18pt"/>
      </w:pPr>
      <w:rPr>
        <w:rFonts w:cs="Times New Roman"/>
      </w:rPr>
    </w:lvl>
    <w:lvl w:ilvl="4" w:tplc="04090019">
      <w:start w:val="1"/>
      <w:numFmt w:val="lowerLetter"/>
      <w:lvlText w:val="%5."/>
      <w:lvlJc w:val="start"/>
      <w:pPr>
        <w:tabs>
          <w:tab w:val="num" w:pos="180pt"/>
        </w:tabs>
        <w:ind w:start="180pt" w:hanging="18pt"/>
      </w:pPr>
      <w:rPr>
        <w:rFonts w:cs="Times New Roman"/>
      </w:rPr>
    </w:lvl>
    <w:lvl w:ilvl="5" w:tplc="0409001B">
      <w:start w:val="1"/>
      <w:numFmt w:val="lowerRoman"/>
      <w:lvlText w:val="%6."/>
      <w:lvlJc w:val="end"/>
      <w:pPr>
        <w:tabs>
          <w:tab w:val="num" w:pos="216pt"/>
        </w:tabs>
        <w:ind w:start="216pt" w:hanging="9pt"/>
      </w:pPr>
      <w:rPr>
        <w:rFonts w:cs="Times New Roman"/>
      </w:rPr>
    </w:lvl>
    <w:lvl w:ilvl="6" w:tplc="0409000F">
      <w:start w:val="1"/>
      <w:numFmt w:val="decimal"/>
      <w:lvlText w:val="%7."/>
      <w:lvlJc w:val="start"/>
      <w:pPr>
        <w:tabs>
          <w:tab w:val="num" w:pos="252pt"/>
        </w:tabs>
        <w:ind w:start="252pt" w:hanging="18pt"/>
      </w:pPr>
      <w:rPr>
        <w:rFonts w:cs="Times New Roman"/>
      </w:rPr>
    </w:lvl>
    <w:lvl w:ilvl="7" w:tplc="04090019">
      <w:start w:val="1"/>
      <w:numFmt w:val="lowerLetter"/>
      <w:lvlText w:val="%8."/>
      <w:lvlJc w:val="start"/>
      <w:pPr>
        <w:tabs>
          <w:tab w:val="num" w:pos="288pt"/>
        </w:tabs>
        <w:ind w:start="288pt" w:hanging="18pt"/>
      </w:pPr>
      <w:rPr>
        <w:rFonts w:cs="Times New Roman"/>
      </w:rPr>
    </w:lvl>
    <w:lvl w:ilvl="8" w:tplc="0409001B">
      <w:start w:val="1"/>
      <w:numFmt w:val="lowerRoman"/>
      <w:lvlText w:val="%9."/>
      <w:lvlJc w:val="end"/>
      <w:pPr>
        <w:tabs>
          <w:tab w:val="num" w:pos="324pt"/>
        </w:tabs>
        <w:ind w:start="324pt" w:hanging="9pt"/>
      </w:pPr>
      <w:rPr>
        <w:rFonts w:cs="Times New Roman"/>
      </w:rPr>
    </w:lvl>
  </w:abstractNum>
  <w:abstractNum w:abstractNumId="13" w15:restartNumberingAfterBreak="0">
    <w:nsid w:val="26FE1FCF"/>
    <w:multiLevelType w:val="hybridMultilevel"/>
    <w:tmpl w:val="33826962"/>
    <w:lvl w:ilvl="0" w:tplc="A2947960">
      <w:start w:val="1"/>
      <w:numFmt w:val="decimal"/>
      <w:pStyle w:val="footnote"/>
      <w:lvlText w:val="%1 "/>
      <w:lvlJc w:val="start"/>
      <w:pPr>
        <w:tabs>
          <w:tab w:val="num" w:pos="32.40pt"/>
        </w:tabs>
        <w:ind w:firstLine="14.40pt"/>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start"/>
      <w:pPr>
        <w:tabs>
          <w:tab w:val="num" w:pos="72pt"/>
        </w:tabs>
        <w:ind w:start="72pt" w:hanging="18pt"/>
      </w:pPr>
      <w:rPr>
        <w:rFonts w:cs="Times New Roman"/>
      </w:rPr>
    </w:lvl>
    <w:lvl w:ilvl="2" w:tplc="0409001B">
      <w:start w:val="1"/>
      <w:numFmt w:val="lowerRoman"/>
      <w:lvlText w:val="%3."/>
      <w:lvlJc w:val="end"/>
      <w:pPr>
        <w:tabs>
          <w:tab w:val="num" w:pos="108pt"/>
        </w:tabs>
        <w:ind w:start="108pt" w:hanging="9pt"/>
      </w:pPr>
      <w:rPr>
        <w:rFonts w:cs="Times New Roman"/>
      </w:rPr>
    </w:lvl>
    <w:lvl w:ilvl="3" w:tplc="0409000F">
      <w:start w:val="1"/>
      <w:numFmt w:val="decimal"/>
      <w:lvlText w:val="%4."/>
      <w:lvlJc w:val="start"/>
      <w:pPr>
        <w:tabs>
          <w:tab w:val="num" w:pos="144pt"/>
        </w:tabs>
        <w:ind w:start="144pt" w:hanging="18pt"/>
      </w:pPr>
      <w:rPr>
        <w:rFonts w:cs="Times New Roman"/>
      </w:rPr>
    </w:lvl>
    <w:lvl w:ilvl="4" w:tplc="04090019">
      <w:start w:val="1"/>
      <w:numFmt w:val="lowerLetter"/>
      <w:lvlText w:val="%5."/>
      <w:lvlJc w:val="start"/>
      <w:pPr>
        <w:tabs>
          <w:tab w:val="num" w:pos="180pt"/>
        </w:tabs>
        <w:ind w:start="180pt" w:hanging="18pt"/>
      </w:pPr>
      <w:rPr>
        <w:rFonts w:cs="Times New Roman"/>
      </w:rPr>
    </w:lvl>
    <w:lvl w:ilvl="5" w:tplc="0409001B">
      <w:start w:val="1"/>
      <w:numFmt w:val="lowerRoman"/>
      <w:lvlText w:val="%6."/>
      <w:lvlJc w:val="end"/>
      <w:pPr>
        <w:tabs>
          <w:tab w:val="num" w:pos="216pt"/>
        </w:tabs>
        <w:ind w:start="216pt" w:hanging="9pt"/>
      </w:pPr>
      <w:rPr>
        <w:rFonts w:cs="Times New Roman"/>
      </w:rPr>
    </w:lvl>
    <w:lvl w:ilvl="6" w:tplc="0409000F">
      <w:start w:val="1"/>
      <w:numFmt w:val="decimal"/>
      <w:lvlText w:val="%7."/>
      <w:lvlJc w:val="start"/>
      <w:pPr>
        <w:tabs>
          <w:tab w:val="num" w:pos="252pt"/>
        </w:tabs>
        <w:ind w:start="252pt" w:hanging="18pt"/>
      </w:pPr>
      <w:rPr>
        <w:rFonts w:cs="Times New Roman"/>
      </w:rPr>
    </w:lvl>
    <w:lvl w:ilvl="7" w:tplc="04090019">
      <w:start w:val="1"/>
      <w:numFmt w:val="lowerLetter"/>
      <w:lvlText w:val="%8."/>
      <w:lvlJc w:val="start"/>
      <w:pPr>
        <w:tabs>
          <w:tab w:val="num" w:pos="288pt"/>
        </w:tabs>
        <w:ind w:start="288pt" w:hanging="18pt"/>
      </w:pPr>
      <w:rPr>
        <w:rFonts w:cs="Times New Roman"/>
      </w:rPr>
    </w:lvl>
    <w:lvl w:ilvl="8" w:tplc="0409001B">
      <w:start w:val="1"/>
      <w:numFmt w:val="lowerRoman"/>
      <w:lvlText w:val="%9."/>
      <w:lvlJc w:val="end"/>
      <w:pPr>
        <w:tabs>
          <w:tab w:val="num" w:pos="324pt"/>
        </w:tabs>
        <w:ind w:start="324pt" w:hanging="9pt"/>
      </w:pPr>
      <w:rPr>
        <w:rFonts w:cs="Times New Roman"/>
      </w:rPr>
    </w:lvl>
  </w:abstractNum>
  <w:abstractNum w:abstractNumId="14" w15:restartNumberingAfterBreak="0">
    <w:nsid w:val="37660336"/>
    <w:multiLevelType w:val="hybridMultilevel"/>
    <w:tmpl w:val="754EAC84"/>
    <w:lvl w:ilvl="0" w:tplc="C46877EA">
      <w:start w:val="1"/>
      <w:numFmt w:val="bullet"/>
      <w:pStyle w:val="bulletlist"/>
      <w:lvlText w:val=""/>
      <w:lvlJc w:val="start"/>
      <w:pPr>
        <w:tabs>
          <w:tab w:val="num" w:pos="32.40pt"/>
        </w:tabs>
        <w:ind w:start="32.40pt" w:hanging="18pt"/>
      </w:pPr>
      <w:rPr>
        <w:rFonts w:ascii="Symbol" w:hAnsi="Symbol" w:hint="default"/>
      </w:rPr>
    </w:lvl>
    <w:lvl w:ilvl="1" w:tplc="04090003">
      <w:start w:val="1"/>
      <w:numFmt w:val="bullet"/>
      <w:lvlText w:val="o"/>
      <w:lvlJc w:val="start"/>
      <w:pPr>
        <w:tabs>
          <w:tab w:val="num" w:pos="72pt"/>
        </w:tabs>
        <w:ind w:start="72pt" w:hanging="18pt"/>
      </w:pPr>
      <w:rPr>
        <w:rFonts w:ascii="Courier New" w:hAnsi="Courier New" w:hint="default"/>
      </w:rPr>
    </w:lvl>
    <w:lvl w:ilvl="2" w:tplc="04090005">
      <w:start w:val="1"/>
      <w:numFmt w:val="bullet"/>
      <w:lvlText w:val=""/>
      <w:lvlJc w:val="start"/>
      <w:pPr>
        <w:tabs>
          <w:tab w:val="num" w:pos="108pt"/>
        </w:tabs>
        <w:ind w:start="108pt" w:hanging="18pt"/>
      </w:pPr>
      <w:rPr>
        <w:rFonts w:ascii="Wingdings" w:hAnsi="Wingdings" w:hint="default"/>
      </w:rPr>
    </w:lvl>
    <w:lvl w:ilvl="3" w:tplc="04090001">
      <w:start w:val="1"/>
      <w:numFmt w:val="bullet"/>
      <w:lvlText w:val=""/>
      <w:lvlJc w:val="start"/>
      <w:pPr>
        <w:tabs>
          <w:tab w:val="num" w:pos="144pt"/>
        </w:tabs>
        <w:ind w:start="144pt" w:hanging="18pt"/>
      </w:pPr>
      <w:rPr>
        <w:rFonts w:ascii="Symbol" w:hAnsi="Symbol" w:hint="default"/>
      </w:rPr>
    </w:lvl>
    <w:lvl w:ilvl="4" w:tplc="04090003">
      <w:start w:val="1"/>
      <w:numFmt w:val="bullet"/>
      <w:lvlText w:val="o"/>
      <w:lvlJc w:val="start"/>
      <w:pPr>
        <w:tabs>
          <w:tab w:val="num" w:pos="180pt"/>
        </w:tabs>
        <w:ind w:start="180pt" w:hanging="18pt"/>
      </w:pPr>
      <w:rPr>
        <w:rFonts w:ascii="Courier New" w:hAnsi="Courier New" w:hint="default"/>
      </w:rPr>
    </w:lvl>
    <w:lvl w:ilvl="5" w:tplc="04090005">
      <w:start w:val="1"/>
      <w:numFmt w:val="bullet"/>
      <w:lvlText w:val=""/>
      <w:lvlJc w:val="start"/>
      <w:pPr>
        <w:tabs>
          <w:tab w:val="num" w:pos="216pt"/>
        </w:tabs>
        <w:ind w:start="216pt" w:hanging="18pt"/>
      </w:pPr>
      <w:rPr>
        <w:rFonts w:ascii="Wingdings" w:hAnsi="Wingdings" w:hint="default"/>
      </w:rPr>
    </w:lvl>
    <w:lvl w:ilvl="6" w:tplc="04090001">
      <w:start w:val="1"/>
      <w:numFmt w:val="bullet"/>
      <w:lvlText w:val=""/>
      <w:lvlJc w:val="start"/>
      <w:pPr>
        <w:tabs>
          <w:tab w:val="num" w:pos="252pt"/>
        </w:tabs>
        <w:ind w:start="252pt" w:hanging="18pt"/>
      </w:pPr>
      <w:rPr>
        <w:rFonts w:ascii="Symbol" w:hAnsi="Symbol" w:hint="default"/>
      </w:rPr>
    </w:lvl>
    <w:lvl w:ilvl="7" w:tplc="04090003">
      <w:start w:val="1"/>
      <w:numFmt w:val="bullet"/>
      <w:lvlText w:val="o"/>
      <w:lvlJc w:val="start"/>
      <w:pPr>
        <w:tabs>
          <w:tab w:val="num" w:pos="288pt"/>
        </w:tabs>
        <w:ind w:start="288pt" w:hanging="18pt"/>
      </w:pPr>
      <w:rPr>
        <w:rFonts w:ascii="Courier New" w:hAnsi="Courier New" w:hint="default"/>
      </w:rPr>
    </w:lvl>
    <w:lvl w:ilvl="8" w:tplc="04090005">
      <w:start w:val="1"/>
      <w:numFmt w:val="bullet"/>
      <w:lvlText w:val=""/>
      <w:lvlJc w:val="start"/>
      <w:pPr>
        <w:tabs>
          <w:tab w:val="num" w:pos="324pt"/>
        </w:tabs>
        <w:ind w:start="324pt" w:hanging="18pt"/>
      </w:pPr>
      <w:rPr>
        <w:rFonts w:ascii="Wingdings" w:hAnsi="Wingdings" w:hint="default"/>
      </w:rPr>
    </w:lvl>
  </w:abstractNum>
  <w:abstractNum w:abstractNumId="15" w15:restartNumberingAfterBreak="0">
    <w:nsid w:val="39E54FC6"/>
    <w:multiLevelType w:val="singleLevel"/>
    <w:tmpl w:val="5B7288D4"/>
    <w:lvl w:ilvl="0">
      <w:start w:val="14"/>
      <w:numFmt w:val="decimal"/>
      <w:lvlText w:val="%1"/>
      <w:lvlJc w:val="start"/>
      <w:pPr>
        <w:tabs>
          <w:tab w:val="num" w:pos="36pt"/>
        </w:tabs>
        <w:ind w:start="36pt" w:hanging="18pt"/>
      </w:pPr>
      <w:rPr>
        <w:rFonts w:cs="Times New Roman" w:hint="default"/>
      </w:rPr>
    </w:lvl>
  </w:abstractNum>
  <w:abstractNum w:abstractNumId="16" w15:restartNumberingAfterBreak="0">
    <w:nsid w:val="4189603E"/>
    <w:multiLevelType w:val="multilevel"/>
    <w:tmpl w:val="0AB06E12"/>
    <w:lvl w:ilvl="0">
      <w:start w:val="1"/>
      <w:numFmt w:val="upperRoman"/>
      <w:pStyle w:val="Heading1"/>
      <w:lvlText w:val="%1."/>
      <w:lvlJc w:val="center"/>
      <w:pPr>
        <w:tabs>
          <w:tab w:val="num" w:pos="28.80pt"/>
        </w:tabs>
        <w:ind w:firstLine="10.80pt"/>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start"/>
      <w:pPr>
        <w:tabs>
          <w:tab w:val="num" w:pos="193.50pt"/>
        </w:tabs>
        <w:ind w:start="189.90pt" w:hanging="14.40pt"/>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start"/>
      <w:pPr>
        <w:tabs>
          <w:tab w:val="num" w:pos="27pt"/>
        </w:tabs>
        <w:ind w:firstLine="9pt"/>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start"/>
      <w:pPr>
        <w:tabs>
          <w:tab w:val="num" w:pos="31.50pt"/>
        </w:tabs>
        <w:ind w:firstLine="18pt"/>
      </w:pPr>
      <w:rPr>
        <w:rFonts w:ascii="Times New Roman" w:hAnsi="Times New Roman" w:cs="Times New Roman" w:hint="default"/>
        <w:b w:val="0"/>
        <w:bCs w:val="0"/>
        <w:i/>
        <w:iCs/>
        <w:sz w:val="20"/>
        <w:szCs w:val="20"/>
      </w:rPr>
    </w:lvl>
    <w:lvl w:ilvl="4">
      <w:start w:val="1"/>
      <w:numFmt w:val="none"/>
      <w:lvlRestart w:val="0"/>
      <w:lvlText w:val=""/>
      <w:lvlJc w:val="start"/>
      <w:pPr>
        <w:tabs>
          <w:tab w:val="num" w:pos="162pt"/>
        </w:tabs>
        <w:ind w:start="144pt"/>
      </w:pPr>
      <w:rPr>
        <w:rFonts w:cs="Times New Roman" w:hint="default"/>
      </w:rPr>
    </w:lvl>
    <w:lvl w:ilvl="5">
      <w:start w:val="1"/>
      <w:numFmt w:val="lowerLetter"/>
      <w:lvlText w:val="(%6)"/>
      <w:lvlJc w:val="start"/>
      <w:pPr>
        <w:tabs>
          <w:tab w:val="num" w:pos="198pt"/>
        </w:tabs>
        <w:ind w:start="180pt"/>
      </w:pPr>
      <w:rPr>
        <w:rFonts w:cs="Times New Roman" w:hint="default"/>
      </w:rPr>
    </w:lvl>
    <w:lvl w:ilvl="6">
      <w:start w:val="1"/>
      <w:numFmt w:val="lowerRoman"/>
      <w:lvlText w:val="(%7)"/>
      <w:lvlJc w:val="start"/>
      <w:pPr>
        <w:tabs>
          <w:tab w:val="num" w:pos="234pt"/>
        </w:tabs>
        <w:ind w:start="216pt"/>
      </w:pPr>
      <w:rPr>
        <w:rFonts w:cs="Times New Roman" w:hint="default"/>
      </w:rPr>
    </w:lvl>
    <w:lvl w:ilvl="7">
      <w:start w:val="1"/>
      <w:numFmt w:val="lowerLetter"/>
      <w:lvlText w:val="(%8)"/>
      <w:lvlJc w:val="start"/>
      <w:pPr>
        <w:tabs>
          <w:tab w:val="num" w:pos="270pt"/>
        </w:tabs>
        <w:ind w:start="252pt"/>
      </w:pPr>
      <w:rPr>
        <w:rFonts w:cs="Times New Roman" w:hint="default"/>
      </w:rPr>
    </w:lvl>
    <w:lvl w:ilvl="8">
      <w:start w:val="1"/>
      <w:numFmt w:val="lowerRoman"/>
      <w:lvlText w:val="(%9)"/>
      <w:lvlJc w:val="start"/>
      <w:pPr>
        <w:tabs>
          <w:tab w:val="num" w:pos="306pt"/>
        </w:tabs>
        <w:ind w:start="288pt"/>
      </w:pPr>
      <w:rPr>
        <w:rFonts w:cs="Times New Roman" w:hint="default"/>
      </w:rPr>
    </w:lvl>
  </w:abstractNum>
  <w:abstractNum w:abstractNumId="17" w15:restartNumberingAfterBreak="0">
    <w:nsid w:val="493C3F76"/>
    <w:multiLevelType w:val="hybridMultilevel"/>
    <w:tmpl w:val="9A9E418C"/>
    <w:lvl w:ilvl="0" w:tplc="2C18EFA4">
      <w:start w:val="1"/>
      <w:numFmt w:val="lowerLetter"/>
      <w:pStyle w:val="tablefootnote"/>
      <w:lvlText w:val="%1."/>
      <w:lvlJc w:val="end"/>
      <w:pPr>
        <w:ind w:start="20.90pt" w:hanging="18pt"/>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52CA544A"/>
    <w:multiLevelType w:val="singleLevel"/>
    <w:tmpl w:val="AED6D67E"/>
    <w:lvl w:ilvl="0">
      <w:start w:val="1"/>
      <w:numFmt w:val="decimal"/>
      <w:pStyle w:val="references"/>
      <w:lvlText w:val="[%1]"/>
      <w:lvlJc w:val="start"/>
      <w:pPr>
        <w:tabs>
          <w:tab w:val="num" w:pos="18pt"/>
        </w:tabs>
        <w:ind w:start="18pt" w:hanging="18pt"/>
      </w:pPr>
      <w:rPr>
        <w:rFonts w:ascii="Times New Roman" w:hAnsi="Times New Roman" w:cs="Times New Roman" w:hint="default"/>
        <w:b w:val="0"/>
        <w:bCs w:val="0"/>
        <w:i w:val="0"/>
        <w:iCs w:val="0"/>
        <w:sz w:val="16"/>
        <w:szCs w:val="16"/>
      </w:rPr>
    </w:lvl>
  </w:abstractNum>
  <w:abstractNum w:abstractNumId="19" w15:restartNumberingAfterBreak="0">
    <w:nsid w:val="6C402C58"/>
    <w:multiLevelType w:val="hybridMultilevel"/>
    <w:tmpl w:val="9A1CA078"/>
    <w:lvl w:ilvl="0" w:tplc="C8D6570A">
      <w:start w:val="1"/>
      <w:numFmt w:val="decimal"/>
      <w:pStyle w:val="figurecaption"/>
      <w:lvlText w:val="Fig. %1."/>
      <w:lvlJc w:val="start"/>
      <w:pPr>
        <w:ind w:start="18pt" w:hanging="18pt"/>
      </w:pPr>
      <w:rPr>
        <w:rFonts w:ascii="Times New Roman" w:hAnsi="Times New Roman" w:cs="Times New Roman" w:hint="default"/>
        <w:b w:val="0"/>
        <w:bCs w:val="0"/>
        <w:i w:val="0"/>
        <w:iCs w:val="0"/>
        <w:color w:val="auto"/>
        <w:sz w:val="16"/>
        <w:szCs w:val="16"/>
      </w:rPr>
    </w:lvl>
    <w:lvl w:ilvl="1" w:tplc="04090019">
      <w:start w:val="1"/>
      <w:numFmt w:val="lowerLetter"/>
      <w:lvlText w:val="%2."/>
      <w:lvlJc w:val="start"/>
      <w:pPr>
        <w:tabs>
          <w:tab w:val="num" w:pos="72pt"/>
        </w:tabs>
        <w:ind w:start="72pt" w:hanging="18pt"/>
      </w:pPr>
      <w:rPr>
        <w:rFonts w:cs="Times New Roman"/>
      </w:rPr>
    </w:lvl>
    <w:lvl w:ilvl="2" w:tplc="0409001B">
      <w:start w:val="1"/>
      <w:numFmt w:val="lowerRoman"/>
      <w:lvlText w:val="%3."/>
      <w:lvlJc w:val="end"/>
      <w:pPr>
        <w:tabs>
          <w:tab w:val="num" w:pos="108pt"/>
        </w:tabs>
        <w:ind w:start="108pt" w:hanging="9pt"/>
      </w:pPr>
      <w:rPr>
        <w:rFonts w:cs="Times New Roman"/>
      </w:rPr>
    </w:lvl>
    <w:lvl w:ilvl="3" w:tplc="0409000F">
      <w:start w:val="1"/>
      <w:numFmt w:val="decimal"/>
      <w:lvlText w:val="%4."/>
      <w:lvlJc w:val="start"/>
      <w:pPr>
        <w:tabs>
          <w:tab w:val="num" w:pos="144pt"/>
        </w:tabs>
        <w:ind w:start="144pt" w:hanging="18pt"/>
      </w:pPr>
      <w:rPr>
        <w:rFonts w:cs="Times New Roman"/>
      </w:rPr>
    </w:lvl>
    <w:lvl w:ilvl="4" w:tplc="04090019">
      <w:start w:val="1"/>
      <w:numFmt w:val="lowerLetter"/>
      <w:lvlText w:val="%5."/>
      <w:lvlJc w:val="start"/>
      <w:pPr>
        <w:tabs>
          <w:tab w:val="num" w:pos="180pt"/>
        </w:tabs>
        <w:ind w:start="180pt" w:hanging="18pt"/>
      </w:pPr>
      <w:rPr>
        <w:rFonts w:cs="Times New Roman"/>
      </w:rPr>
    </w:lvl>
    <w:lvl w:ilvl="5" w:tplc="0409001B">
      <w:start w:val="1"/>
      <w:numFmt w:val="lowerRoman"/>
      <w:lvlText w:val="%6."/>
      <w:lvlJc w:val="end"/>
      <w:pPr>
        <w:tabs>
          <w:tab w:val="num" w:pos="216pt"/>
        </w:tabs>
        <w:ind w:start="216pt" w:hanging="9pt"/>
      </w:pPr>
      <w:rPr>
        <w:rFonts w:cs="Times New Roman"/>
      </w:rPr>
    </w:lvl>
    <w:lvl w:ilvl="6" w:tplc="0409000F">
      <w:start w:val="1"/>
      <w:numFmt w:val="decimal"/>
      <w:lvlText w:val="%7."/>
      <w:lvlJc w:val="start"/>
      <w:pPr>
        <w:tabs>
          <w:tab w:val="num" w:pos="252pt"/>
        </w:tabs>
        <w:ind w:start="252pt" w:hanging="18pt"/>
      </w:pPr>
      <w:rPr>
        <w:rFonts w:cs="Times New Roman"/>
      </w:rPr>
    </w:lvl>
    <w:lvl w:ilvl="7" w:tplc="04090019">
      <w:start w:val="1"/>
      <w:numFmt w:val="lowerLetter"/>
      <w:lvlText w:val="%8."/>
      <w:lvlJc w:val="start"/>
      <w:pPr>
        <w:tabs>
          <w:tab w:val="num" w:pos="288pt"/>
        </w:tabs>
        <w:ind w:start="288pt" w:hanging="18pt"/>
      </w:pPr>
      <w:rPr>
        <w:rFonts w:cs="Times New Roman"/>
      </w:rPr>
    </w:lvl>
    <w:lvl w:ilvl="8" w:tplc="0409001B">
      <w:start w:val="1"/>
      <w:numFmt w:val="lowerRoman"/>
      <w:lvlText w:val="%9."/>
      <w:lvlJc w:val="end"/>
      <w:pPr>
        <w:tabs>
          <w:tab w:val="num" w:pos="324pt"/>
        </w:tabs>
        <w:ind w:start="324pt" w:hanging="9pt"/>
      </w:pPr>
      <w:rPr>
        <w:rFonts w:cs="Times New Roman"/>
      </w:rPr>
    </w:lvl>
  </w:abstractNum>
  <w:abstractNum w:abstractNumId="20" w15:restartNumberingAfterBreak="0">
    <w:nsid w:val="6CD32DA8"/>
    <w:multiLevelType w:val="singleLevel"/>
    <w:tmpl w:val="166470C2"/>
    <w:lvl w:ilvl="0">
      <w:start w:val="1"/>
      <w:numFmt w:val="upperRoman"/>
      <w:pStyle w:val="tablehead"/>
      <w:lvlText w:val="TABLE %1. "/>
      <w:lvlJc w:val="start"/>
      <w:pPr>
        <w:tabs>
          <w:tab w:val="num" w:pos="121.50pt"/>
        </w:tabs>
      </w:pPr>
      <w:rPr>
        <w:rFonts w:ascii="Times New Roman" w:hAnsi="Times New Roman" w:cs="Times New Roman" w:hint="default"/>
        <w:b w:val="0"/>
        <w:bCs w:val="0"/>
        <w:i w:val="0"/>
        <w:iCs w:val="0"/>
        <w:sz w:val="16"/>
        <w:szCs w:val="16"/>
      </w:rPr>
    </w:lvl>
  </w:abstractNum>
  <w:num w:numId="1">
    <w:abstractNumId w:val="14"/>
  </w:num>
  <w:num w:numId="2">
    <w:abstractNumId w:val="19"/>
  </w:num>
  <w:num w:numId="3">
    <w:abstractNumId w:val="13"/>
  </w:num>
  <w:num w:numId="4">
    <w:abstractNumId w:val="16"/>
  </w:num>
  <w:num w:numId="5">
    <w:abstractNumId w:val="16"/>
  </w:num>
  <w:num w:numId="6">
    <w:abstractNumId w:val="16"/>
  </w:num>
  <w:num w:numId="7">
    <w:abstractNumId w:val="16"/>
  </w:num>
  <w:num w:numId="8">
    <w:abstractNumId w:val="18"/>
  </w:num>
  <w:num w:numId="9">
    <w:abstractNumId w:val="20"/>
  </w:num>
  <w:num w:numId="10">
    <w:abstractNumId w:val="15"/>
  </w:num>
  <w:num w:numId="11">
    <w:abstractNumId w:val="12"/>
  </w:num>
  <w:num w:numId="12">
    <w:abstractNumId w:val="11"/>
  </w:num>
  <w:num w:numId="13">
    <w:abstractNumId w:val="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3"/>
  </w:num>
  <w:num w:numId="22">
    <w:abstractNumId w:val="2"/>
  </w:num>
  <w:num w:numId="23">
    <w:abstractNumId w:val="1"/>
  </w:num>
  <w:num w:numId="24">
    <w:abstractNumId w:val="17"/>
  </w:num>
  <w:num w:numId="25">
    <w:abstractNumId w:val="16"/>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se="http://schemas.microsoft.com/office/word/2015/wordml/symex" xmlns:sl="http://schemas.openxmlformats.org/schemaLibrary/2006/main" mc:Ignorable="w14 w15 w16se">
  <w:zoom w:percent="155%"/>
  <w:embedSystemFonts/>
  <w:proofState w:spelling="clean" w:grammar="clean"/>
  <w:defaultTabStop w:val="36pt"/>
  <w:doNotHyphenateCaps/>
  <w:characterSpacingControl w:val="doNotCompress"/>
  <w:savePreviewPicture/>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3D9"/>
    <w:rsid w:val="00010978"/>
    <w:rsid w:val="0004781E"/>
    <w:rsid w:val="00083F49"/>
    <w:rsid w:val="0008758A"/>
    <w:rsid w:val="000C00B2"/>
    <w:rsid w:val="000C0550"/>
    <w:rsid w:val="000C1E68"/>
    <w:rsid w:val="000E45A3"/>
    <w:rsid w:val="00112B74"/>
    <w:rsid w:val="00156422"/>
    <w:rsid w:val="00175E03"/>
    <w:rsid w:val="001853FA"/>
    <w:rsid w:val="00191B27"/>
    <w:rsid w:val="001A22CB"/>
    <w:rsid w:val="001A2EFD"/>
    <w:rsid w:val="001A3B3D"/>
    <w:rsid w:val="001B67DC"/>
    <w:rsid w:val="001D58D0"/>
    <w:rsid w:val="001E4C0E"/>
    <w:rsid w:val="002254A9"/>
    <w:rsid w:val="00233D97"/>
    <w:rsid w:val="002347A2"/>
    <w:rsid w:val="00236EE6"/>
    <w:rsid w:val="00243C3D"/>
    <w:rsid w:val="00253C8B"/>
    <w:rsid w:val="00271D8B"/>
    <w:rsid w:val="002822FB"/>
    <w:rsid w:val="002850E3"/>
    <w:rsid w:val="00287FF4"/>
    <w:rsid w:val="002A34FE"/>
    <w:rsid w:val="002B2185"/>
    <w:rsid w:val="002B618E"/>
    <w:rsid w:val="002C5D1B"/>
    <w:rsid w:val="003324C0"/>
    <w:rsid w:val="00333036"/>
    <w:rsid w:val="00352904"/>
    <w:rsid w:val="00354FCF"/>
    <w:rsid w:val="00355436"/>
    <w:rsid w:val="003658B8"/>
    <w:rsid w:val="00365EB6"/>
    <w:rsid w:val="00372376"/>
    <w:rsid w:val="00382406"/>
    <w:rsid w:val="00383384"/>
    <w:rsid w:val="00384C81"/>
    <w:rsid w:val="00394D5C"/>
    <w:rsid w:val="003A19E2"/>
    <w:rsid w:val="003A2BB4"/>
    <w:rsid w:val="003A5567"/>
    <w:rsid w:val="003A644E"/>
    <w:rsid w:val="003B2B40"/>
    <w:rsid w:val="003B4E04"/>
    <w:rsid w:val="003B5876"/>
    <w:rsid w:val="003C5928"/>
    <w:rsid w:val="003D2DF2"/>
    <w:rsid w:val="003D38FD"/>
    <w:rsid w:val="003F5A08"/>
    <w:rsid w:val="00420716"/>
    <w:rsid w:val="004325FB"/>
    <w:rsid w:val="00434D19"/>
    <w:rsid w:val="004432BA"/>
    <w:rsid w:val="0044407E"/>
    <w:rsid w:val="00447BB9"/>
    <w:rsid w:val="0046031D"/>
    <w:rsid w:val="00462013"/>
    <w:rsid w:val="004728FA"/>
    <w:rsid w:val="00473AC9"/>
    <w:rsid w:val="00473BDE"/>
    <w:rsid w:val="004B4363"/>
    <w:rsid w:val="004C667C"/>
    <w:rsid w:val="004C694C"/>
    <w:rsid w:val="004D3B09"/>
    <w:rsid w:val="004D72B5"/>
    <w:rsid w:val="004D7891"/>
    <w:rsid w:val="005156EC"/>
    <w:rsid w:val="00533F1D"/>
    <w:rsid w:val="00551B7F"/>
    <w:rsid w:val="00562210"/>
    <w:rsid w:val="0056610F"/>
    <w:rsid w:val="00570ECD"/>
    <w:rsid w:val="00575BCA"/>
    <w:rsid w:val="00590425"/>
    <w:rsid w:val="005B0344"/>
    <w:rsid w:val="005B520E"/>
    <w:rsid w:val="005C1C8B"/>
    <w:rsid w:val="005E2800"/>
    <w:rsid w:val="00605825"/>
    <w:rsid w:val="00620111"/>
    <w:rsid w:val="00622E49"/>
    <w:rsid w:val="006321EC"/>
    <w:rsid w:val="006423C3"/>
    <w:rsid w:val="00645D22"/>
    <w:rsid w:val="0064688F"/>
    <w:rsid w:val="00651A08"/>
    <w:rsid w:val="006521C1"/>
    <w:rsid w:val="00653862"/>
    <w:rsid w:val="00654204"/>
    <w:rsid w:val="00670434"/>
    <w:rsid w:val="00677B17"/>
    <w:rsid w:val="00687035"/>
    <w:rsid w:val="00696FD9"/>
    <w:rsid w:val="006A29BB"/>
    <w:rsid w:val="006B6B66"/>
    <w:rsid w:val="006C0C76"/>
    <w:rsid w:val="006C598B"/>
    <w:rsid w:val="006D0581"/>
    <w:rsid w:val="006F6D3D"/>
    <w:rsid w:val="007036D4"/>
    <w:rsid w:val="00715BEA"/>
    <w:rsid w:val="00720600"/>
    <w:rsid w:val="00737931"/>
    <w:rsid w:val="00740EEA"/>
    <w:rsid w:val="00794804"/>
    <w:rsid w:val="00797151"/>
    <w:rsid w:val="007B33F1"/>
    <w:rsid w:val="007B64DB"/>
    <w:rsid w:val="007B6DDA"/>
    <w:rsid w:val="007C0308"/>
    <w:rsid w:val="007C2FF2"/>
    <w:rsid w:val="007D528B"/>
    <w:rsid w:val="007D6232"/>
    <w:rsid w:val="007D696A"/>
    <w:rsid w:val="007F1F99"/>
    <w:rsid w:val="007F4931"/>
    <w:rsid w:val="007F768F"/>
    <w:rsid w:val="008048FF"/>
    <w:rsid w:val="0080791D"/>
    <w:rsid w:val="00831691"/>
    <w:rsid w:val="00836367"/>
    <w:rsid w:val="00844500"/>
    <w:rsid w:val="0085166E"/>
    <w:rsid w:val="008609AF"/>
    <w:rsid w:val="008617E6"/>
    <w:rsid w:val="00873603"/>
    <w:rsid w:val="00886734"/>
    <w:rsid w:val="00890A25"/>
    <w:rsid w:val="008951C5"/>
    <w:rsid w:val="008A2C7D"/>
    <w:rsid w:val="008A7A92"/>
    <w:rsid w:val="008B4B9A"/>
    <w:rsid w:val="008B6524"/>
    <w:rsid w:val="008C4B23"/>
    <w:rsid w:val="008E3807"/>
    <w:rsid w:val="008F6E2C"/>
    <w:rsid w:val="00917A57"/>
    <w:rsid w:val="00923138"/>
    <w:rsid w:val="009303D9"/>
    <w:rsid w:val="00933C64"/>
    <w:rsid w:val="00945D68"/>
    <w:rsid w:val="00972203"/>
    <w:rsid w:val="009B65D8"/>
    <w:rsid w:val="009D11A9"/>
    <w:rsid w:val="009E669A"/>
    <w:rsid w:val="009F1D79"/>
    <w:rsid w:val="00A03E66"/>
    <w:rsid w:val="00A0572A"/>
    <w:rsid w:val="00A059B3"/>
    <w:rsid w:val="00A06EC7"/>
    <w:rsid w:val="00A25AAD"/>
    <w:rsid w:val="00A3357D"/>
    <w:rsid w:val="00A93B5D"/>
    <w:rsid w:val="00A96A7C"/>
    <w:rsid w:val="00AC41E9"/>
    <w:rsid w:val="00AC5C9D"/>
    <w:rsid w:val="00AE3409"/>
    <w:rsid w:val="00AE4FE3"/>
    <w:rsid w:val="00AF229B"/>
    <w:rsid w:val="00AF3CDF"/>
    <w:rsid w:val="00B062E4"/>
    <w:rsid w:val="00B11A60"/>
    <w:rsid w:val="00B22613"/>
    <w:rsid w:val="00B421A9"/>
    <w:rsid w:val="00B44A76"/>
    <w:rsid w:val="00B47581"/>
    <w:rsid w:val="00B55AAF"/>
    <w:rsid w:val="00B659EB"/>
    <w:rsid w:val="00B768D1"/>
    <w:rsid w:val="00BA1025"/>
    <w:rsid w:val="00BA13C6"/>
    <w:rsid w:val="00BA62E9"/>
    <w:rsid w:val="00BC3420"/>
    <w:rsid w:val="00BD670B"/>
    <w:rsid w:val="00BE7D3C"/>
    <w:rsid w:val="00BF5FF6"/>
    <w:rsid w:val="00C0207F"/>
    <w:rsid w:val="00C16117"/>
    <w:rsid w:val="00C1721A"/>
    <w:rsid w:val="00C3075A"/>
    <w:rsid w:val="00C45ADA"/>
    <w:rsid w:val="00C919A4"/>
    <w:rsid w:val="00C952C5"/>
    <w:rsid w:val="00CA4392"/>
    <w:rsid w:val="00CC393F"/>
    <w:rsid w:val="00CC4E48"/>
    <w:rsid w:val="00CD12A0"/>
    <w:rsid w:val="00D2176E"/>
    <w:rsid w:val="00D260F2"/>
    <w:rsid w:val="00D4236D"/>
    <w:rsid w:val="00D4747E"/>
    <w:rsid w:val="00D632BE"/>
    <w:rsid w:val="00D72D06"/>
    <w:rsid w:val="00D7522C"/>
    <w:rsid w:val="00D7536F"/>
    <w:rsid w:val="00D76668"/>
    <w:rsid w:val="00D817F1"/>
    <w:rsid w:val="00D84475"/>
    <w:rsid w:val="00D90783"/>
    <w:rsid w:val="00DB35C5"/>
    <w:rsid w:val="00DF0F59"/>
    <w:rsid w:val="00DF5417"/>
    <w:rsid w:val="00DF73CB"/>
    <w:rsid w:val="00E07383"/>
    <w:rsid w:val="00E159B9"/>
    <w:rsid w:val="00E165BC"/>
    <w:rsid w:val="00E3777B"/>
    <w:rsid w:val="00E61E12"/>
    <w:rsid w:val="00E645C7"/>
    <w:rsid w:val="00E661B3"/>
    <w:rsid w:val="00E663A5"/>
    <w:rsid w:val="00E7596C"/>
    <w:rsid w:val="00E878F2"/>
    <w:rsid w:val="00ED0149"/>
    <w:rsid w:val="00ED5577"/>
    <w:rsid w:val="00EE7801"/>
    <w:rsid w:val="00EF7DE3"/>
    <w:rsid w:val="00F03103"/>
    <w:rsid w:val="00F101E4"/>
    <w:rsid w:val="00F271DE"/>
    <w:rsid w:val="00F35615"/>
    <w:rsid w:val="00F44962"/>
    <w:rsid w:val="00F4513F"/>
    <w:rsid w:val="00F627DA"/>
    <w:rsid w:val="00F63308"/>
    <w:rsid w:val="00F7288F"/>
    <w:rsid w:val="00F7388F"/>
    <w:rsid w:val="00F8081C"/>
    <w:rsid w:val="00F847A6"/>
    <w:rsid w:val="00F9441B"/>
    <w:rsid w:val="00FA4C32"/>
    <w:rsid w:val="00FB6DE2"/>
    <w:rsid w:val="00FC3F1A"/>
    <w:rsid w:val="00FD7A7A"/>
    <w:rsid w:val="00FE554C"/>
    <w:rsid w:val="00FE7114"/>
    <w:rsid w:val="00FF34A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3F199A38"/>
  <w15:chartTrackingRefBased/>
  <w15:docId w15:val="{024ECAD1-2323-4B9B-8C03-899AA7F9FF21}"/>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center"/>
    </w:pPr>
  </w:style>
  <w:style w:type="paragraph" w:styleId="Heading1">
    <w:name w:val="heading 1"/>
    <w:basedOn w:val="Normal"/>
    <w:next w:val="Normal"/>
    <w:qFormat/>
    <w:rsid w:val="006B6B66"/>
    <w:pPr>
      <w:keepNext/>
      <w:keepLines/>
      <w:numPr>
        <w:numId w:val="4"/>
      </w:numPr>
      <w:tabs>
        <w:tab w:val="start" w:pos="10.80pt"/>
      </w:tabs>
      <w:spacing w:before="8pt" w:after="4pt"/>
      <w:ind w:firstLine="0pt"/>
      <w:outlineLvl w:val="0"/>
    </w:pPr>
    <w:rPr>
      <w:smallCaps/>
      <w:noProof/>
    </w:rPr>
  </w:style>
  <w:style w:type="paragraph" w:styleId="Heading2">
    <w:name w:val="heading 2"/>
    <w:basedOn w:val="Normal"/>
    <w:next w:val="Normal"/>
    <w:qFormat/>
    <w:rsid w:val="00ED0149"/>
    <w:pPr>
      <w:keepNext/>
      <w:keepLines/>
      <w:numPr>
        <w:ilvl w:val="1"/>
        <w:numId w:val="4"/>
      </w:numPr>
      <w:tabs>
        <w:tab w:val="clear" w:pos="193.50pt"/>
        <w:tab w:val="num" w:pos="18pt"/>
      </w:tabs>
      <w:spacing w:before="6pt" w:after="3pt"/>
      <w:ind w:start="14.40pt"/>
      <w:jc w:val="start"/>
      <w:outlineLvl w:val="1"/>
    </w:pPr>
    <w:rPr>
      <w:i/>
      <w:iCs/>
      <w:noProof/>
    </w:rPr>
  </w:style>
  <w:style w:type="paragraph" w:styleId="Heading3">
    <w:name w:val="heading 3"/>
    <w:basedOn w:val="Normal"/>
    <w:next w:val="Normal"/>
    <w:qFormat/>
    <w:rsid w:val="00794804"/>
    <w:pPr>
      <w:numPr>
        <w:ilvl w:val="2"/>
        <w:numId w:val="4"/>
      </w:numPr>
      <w:spacing w:line="12pt" w:lineRule="exact"/>
      <w:ind w:firstLine="14.40pt"/>
      <w:jc w:val="both"/>
      <w:outlineLvl w:val="2"/>
    </w:pPr>
    <w:rPr>
      <w:i/>
      <w:iCs/>
      <w:noProof/>
    </w:rPr>
  </w:style>
  <w:style w:type="paragraph" w:styleId="Heading4">
    <w:name w:val="heading 4"/>
    <w:basedOn w:val="Normal"/>
    <w:next w:val="Normal"/>
    <w:qFormat/>
    <w:rsid w:val="00794804"/>
    <w:pPr>
      <w:numPr>
        <w:ilvl w:val="3"/>
        <w:numId w:val="4"/>
      </w:numPr>
      <w:tabs>
        <w:tab w:val="clear" w:pos="31.50pt"/>
        <w:tab w:val="start" w:pos="36pt"/>
      </w:tabs>
      <w:spacing w:before="2pt" w:after="2pt"/>
      <w:ind w:firstLine="25.20pt"/>
      <w:jc w:val="both"/>
      <w:outlineLvl w:val="3"/>
    </w:pPr>
    <w:rPr>
      <w:i/>
      <w:iCs/>
      <w:noProof/>
    </w:rPr>
  </w:style>
  <w:style w:type="paragraph" w:styleId="Heading5">
    <w:name w:val="heading 5"/>
    <w:basedOn w:val="Normal"/>
    <w:next w:val="Normal"/>
    <w:qFormat/>
    <w:pPr>
      <w:tabs>
        <w:tab w:val="start" w:pos="18pt"/>
      </w:tabs>
      <w:spacing w:before="8pt" w:after="4pt"/>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Abstract">
    <w:name w:val="Abstract"/>
    <w:rsid w:val="00972203"/>
    <w:pPr>
      <w:spacing w:after="10pt"/>
      <w:ind w:firstLine="13.60pt"/>
      <w:jc w:val="both"/>
    </w:pPr>
    <w:rPr>
      <w:b/>
      <w:bCs/>
      <w:sz w:val="18"/>
      <w:szCs w:val="18"/>
    </w:rPr>
  </w:style>
  <w:style w:type="paragraph" w:customStyle="1" w:styleId="Affiliation">
    <w:name w:val="Affiliation"/>
    <w:pPr>
      <w:jc w:val="center"/>
    </w:pPr>
  </w:style>
  <w:style w:type="paragraph" w:customStyle="1" w:styleId="Author">
    <w:name w:val="Author"/>
    <w:pPr>
      <w:spacing w:before="18pt" w:after="2pt"/>
      <w:jc w:val="center"/>
    </w:pPr>
    <w:rPr>
      <w:noProof/>
      <w:sz w:val="22"/>
      <w:szCs w:val="22"/>
    </w:rPr>
  </w:style>
  <w:style w:type="paragraph" w:styleId="BodyText">
    <w:name w:val="Body Text"/>
    <w:basedOn w:val="Normal"/>
    <w:link w:val="BodyTextChar"/>
    <w:rsid w:val="00E7596C"/>
    <w:pPr>
      <w:tabs>
        <w:tab w:val="start" w:pos="14.40pt"/>
      </w:tabs>
      <w:spacing w:after="6pt" w:line="11.40pt" w:lineRule="auto"/>
      <w:ind w:firstLine="14.40pt"/>
      <w:jc w:val="both"/>
    </w:pPr>
    <w:rPr>
      <w:spacing w:val="-1"/>
      <w:lang w:val="x-none" w:eastAsia="x-none"/>
    </w:rPr>
  </w:style>
  <w:style w:type="character" w:customStyle="1" w:styleId="BodyTextChar">
    <w:name w:val="Body Text Char"/>
    <w:link w:val="BodyText"/>
    <w:rsid w:val="00E7596C"/>
    <w:rPr>
      <w:spacing w:val="-1"/>
      <w:lang w:val="x-none" w:eastAsia="x-none"/>
    </w:rPr>
  </w:style>
  <w:style w:type="paragraph" w:customStyle="1" w:styleId="bulletlist">
    <w:name w:val="bullet list"/>
    <w:basedOn w:val="BodyText"/>
    <w:rsid w:val="001B67DC"/>
    <w:pPr>
      <w:numPr>
        <w:numId w:val="1"/>
      </w:numPr>
      <w:tabs>
        <w:tab w:val="clear" w:pos="32.40pt"/>
      </w:tabs>
      <w:ind w:start="28.80pt" w:hanging="14.40pt"/>
    </w:pPr>
  </w:style>
  <w:style w:type="paragraph" w:customStyle="1" w:styleId="equation">
    <w:name w:val="equation"/>
    <w:basedOn w:val="Normal"/>
    <w:rsid w:val="008A2C7D"/>
    <w:pPr>
      <w:tabs>
        <w:tab w:val="center" w:pos="126pt"/>
        <w:tab w:val="end" w:pos="252pt"/>
      </w:tabs>
      <w:spacing w:before="12pt" w:after="12pt" w:line="10.80pt" w:lineRule="auto"/>
    </w:pPr>
    <w:rPr>
      <w:rFonts w:ascii="Symbol" w:hAnsi="Symbol" w:cs="Symbol"/>
    </w:rPr>
  </w:style>
  <w:style w:type="paragraph" w:customStyle="1" w:styleId="figurecaption">
    <w:name w:val="figure caption"/>
    <w:rsid w:val="005B0344"/>
    <w:pPr>
      <w:numPr>
        <w:numId w:val="2"/>
      </w:numPr>
      <w:tabs>
        <w:tab w:val="start" w:pos="26.65pt"/>
      </w:tabs>
      <w:spacing w:before="4pt" w:after="10pt"/>
      <w:ind w:start="0pt" w:firstLine="0pt"/>
      <w:jc w:val="both"/>
    </w:pPr>
    <w:rPr>
      <w:noProof/>
      <w:sz w:val="16"/>
      <w:szCs w:val="16"/>
    </w:rPr>
  </w:style>
  <w:style w:type="paragraph" w:customStyle="1" w:styleId="footnote">
    <w:name w:val="footnote"/>
    <w:pPr>
      <w:framePr w:hSpace="9.35pt" w:vSpace="9.35pt" w:wrap="notBeside" w:vAnchor="text" w:hAnchor="page" w:x="306.05pt" w:y="28.85pt"/>
      <w:numPr>
        <w:numId w:val="3"/>
      </w:numPr>
      <w:spacing w:after="2pt"/>
    </w:pPr>
    <w:rPr>
      <w:sz w:val="16"/>
      <w:szCs w:val="16"/>
    </w:rPr>
  </w:style>
  <w:style w:type="paragraph" w:customStyle="1" w:styleId="papersubtitle">
    <w:name w:val="paper subtitle"/>
    <w:pPr>
      <w:spacing w:after="6pt"/>
      <w:jc w:val="center"/>
    </w:pPr>
    <w:rPr>
      <w:rFonts w:eastAsia="MS Mincho"/>
      <w:noProof/>
      <w:sz w:val="28"/>
      <w:szCs w:val="28"/>
    </w:rPr>
  </w:style>
  <w:style w:type="paragraph" w:customStyle="1" w:styleId="papertitle">
    <w:name w:val="paper title"/>
    <w:pPr>
      <w:spacing w:after="6pt"/>
      <w:jc w:val="center"/>
    </w:pPr>
    <w:rPr>
      <w:rFonts w:eastAsia="MS Mincho"/>
      <w:noProof/>
      <w:sz w:val="48"/>
      <w:szCs w:val="48"/>
    </w:rPr>
  </w:style>
  <w:style w:type="paragraph" w:customStyle="1" w:styleId="references">
    <w:name w:val="references"/>
    <w:pPr>
      <w:numPr>
        <w:numId w:val="8"/>
      </w:numPr>
      <w:spacing w:after="2.50pt" w:line="9pt" w:lineRule="exact"/>
      <w:jc w:val="both"/>
    </w:pPr>
    <w:rPr>
      <w:rFonts w:eastAsia="MS Mincho"/>
      <w:noProof/>
      <w:sz w:val="16"/>
      <w:szCs w:val="16"/>
    </w:rPr>
  </w:style>
  <w:style w:type="paragraph" w:customStyle="1" w:styleId="sponsors">
    <w:name w:val="sponsors"/>
    <w:pPr>
      <w:framePr w:wrap="auto" w:hAnchor="text" w:x="30.75pt" w:y="111.95pt"/>
      <w:pBdr>
        <w:top w:val="single" w:sz="4" w:space="2" w:color="auto"/>
      </w:pBdr>
      <w:ind w:firstLine="14.40pt"/>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rsid w:val="005E2800"/>
    <w:pPr>
      <w:numPr>
        <w:numId w:val="24"/>
      </w:numPr>
      <w:spacing w:before="3pt" w:after="1.50pt"/>
      <w:ind w:start="2.90pt" w:hanging="1.45pt"/>
      <w:jc w:val="end"/>
    </w:pPr>
    <w:rPr>
      <w:sz w:val="12"/>
      <w:szCs w:val="12"/>
    </w:rPr>
  </w:style>
  <w:style w:type="paragraph" w:customStyle="1" w:styleId="tablehead">
    <w:name w:val="table head"/>
    <w:pPr>
      <w:numPr>
        <w:numId w:val="9"/>
      </w:numPr>
      <w:spacing w:before="12pt" w:after="6pt" w:line="10.80pt" w:lineRule="auto"/>
      <w:jc w:val="center"/>
    </w:pPr>
    <w:rPr>
      <w:smallCaps/>
      <w:noProof/>
      <w:sz w:val="16"/>
      <w:szCs w:val="16"/>
    </w:rPr>
  </w:style>
  <w:style w:type="paragraph" w:customStyle="1" w:styleId="Keywords">
    <w:name w:val="Keywords"/>
    <w:basedOn w:val="Abstract"/>
    <w:qFormat/>
    <w:rsid w:val="00F9441B"/>
    <w:pPr>
      <w:spacing w:after="6pt"/>
      <w:ind w:firstLine="13.70pt"/>
    </w:pPr>
    <w:rPr>
      <w:i/>
    </w:rPr>
  </w:style>
  <w:style w:type="paragraph" w:styleId="Header">
    <w:name w:val="header"/>
    <w:basedOn w:val="Normal"/>
    <w:link w:val="HeaderChar"/>
    <w:uiPriority w:val="99"/>
    <w:rsid w:val="001A3B3D"/>
    <w:pPr>
      <w:tabs>
        <w:tab w:val="center" w:pos="234pt"/>
        <w:tab w:val="end" w:pos="468pt"/>
      </w:tabs>
    </w:pPr>
  </w:style>
  <w:style w:type="character" w:customStyle="1" w:styleId="HeaderChar">
    <w:name w:val="Header Char"/>
    <w:basedOn w:val="DefaultParagraphFont"/>
    <w:link w:val="Header"/>
    <w:uiPriority w:val="99"/>
    <w:rsid w:val="001A3B3D"/>
  </w:style>
  <w:style w:type="paragraph" w:styleId="Footer">
    <w:name w:val="footer"/>
    <w:basedOn w:val="Normal"/>
    <w:link w:val="FooterChar"/>
    <w:rsid w:val="001A3B3D"/>
    <w:pPr>
      <w:tabs>
        <w:tab w:val="center" w:pos="234pt"/>
        <w:tab w:val="end" w:pos="468pt"/>
      </w:tabs>
    </w:pPr>
  </w:style>
  <w:style w:type="character" w:customStyle="1" w:styleId="FooterChar">
    <w:name w:val="Footer Char"/>
    <w:basedOn w:val="DefaultParagraphFont"/>
    <w:link w:val="Footer"/>
    <w:rsid w:val="001A3B3D"/>
  </w:style>
  <w:style w:type="paragraph" w:styleId="NormalWeb">
    <w:name w:val="Normal (Web)"/>
    <w:basedOn w:val="Normal"/>
    <w:uiPriority w:val="99"/>
    <w:unhideWhenUsed/>
    <w:rsid w:val="00253C8B"/>
    <w:pPr>
      <w:spacing w:before="5pt" w:beforeAutospacing="1" w:after="5pt" w:afterAutospacing="1"/>
      <w:jc w:val="start"/>
    </w:pPr>
    <w:rPr>
      <w:rFonts w:eastAsia="Times New Roman"/>
      <w:sz w:val="24"/>
      <w:szCs w:val="24"/>
    </w:rPr>
  </w:style>
  <w:style w:type="table" w:styleId="TableGrid">
    <w:name w:val="Table Grid"/>
    <w:basedOn w:val="TableNormal"/>
    <w:rsid w:val="003A2BB4"/>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C667C"/>
    <w:rPr>
      <w:color w:val="808080"/>
    </w:rPr>
  </w:style>
  <w:style w:type="paragraph" w:styleId="FootnoteText">
    <w:name w:val="footnote text"/>
    <w:basedOn w:val="Normal"/>
    <w:link w:val="FootnoteTextChar"/>
    <w:rsid w:val="00FF34AA"/>
  </w:style>
  <w:style w:type="character" w:customStyle="1" w:styleId="FootnoteTextChar">
    <w:name w:val="Footnote Text Char"/>
    <w:basedOn w:val="DefaultParagraphFont"/>
    <w:link w:val="FootnoteText"/>
    <w:rsid w:val="00FF34AA"/>
  </w:style>
  <w:style w:type="character" w:styleId="FootnoteReference">
    <w:name w:val="footnote reference"/>
    <w:basedOn w:val="DefaultParagraphFont"/>
    <w:rsid w:val="00FF34AA"/>
    <w:rPr>
      <w:vertAlign w:val="superscript"/>
    </w:rPr>
  </w:style>
  <w:style w:type="character" w:styleId="Hyperlink">
    <w:name w:val="Hyperlink"/>
    <w:basedOn w:val="DefaultParagraphFont"/>
    <w:rsid w:val="00083F49"/>
    <w:rPr>
      <w:color w:val="0563C1" w:themeColor="hyperlink"/>
      <w:u w:val="single"/>
    </w:rPr>
  </w:style>
  <w:style w:type="character" w:customStyle="1" w:styleId="UnresolvedMention">
    <w:name w:val="Unresolved Mention"/>
    <w:basedOn w:val="DefaultParagraphFont"/>
    <w:uiPriority w:val="99"/>
    <w:semiHidden/>
    <w:unhideWhenUsed/>
    <w:rsid w:val="00083F49"/>
    <w:rPr>
      <w:color w:val="605E5C"/>
      <w:shd w:val="clear" w:color="auto" w:fill="E1DFDD"/>
    </w:rPr>
  </w:style>
  <w:style w:type="character" w:styleId="FollowedHyperlink">
    <w:name w:val="FollowedHyperlink"/>
    <w:basedOn w:val="DefaultParagraphFont"/>
    <w:rsid w:val="00083F49"/>
    <w:rPr>
      <w:color w:val="954F72" w:themeColor="followedHyperlink"/>
      <w:u w:val="single"/>
    </w:rPr>
  </w:style>
  <w:style w:type="character" w:customStyle="1" w:styleId="apple-style-span">
    <w:name w:val="apple-style-span"/>
    <w:basedOn w:val="DefaultParagraphFont"/>
    <w:rsid w:val="00175E03"/>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purl.oclc.org/ooxml/officeDocument/relationships/header" Target="header1.xml"/><Relationship Id="rId13" Type="http://purl.oclc.org/ooxml/officeDocument/relationships/footer" Target="footer3.xml"/><Relationship Id="rId18" Type="http://purl.oclc.org/ooxml/officeDocument/relationships/hyperlink" Target="http://www.gromacs.org" TargetMode="External"/><Relationship Id="rId3" Type="http://purl.oclc.org/ooxml/officeDocument/relationships/styles" Target="styles.xml"/><Relationship Id="rId7" Type="http://purl.oclc.org/ooxml/officeDocument/relationships/endnotes" Target="endnotes.xml"/><Relationship Id="rId12" Type="http://purl.oclc.org/ooxml/officeDocument/relationships/header" Target="header3.xml"/><Relationship Id="rId17" Type="http://purl.oclc.org/ooxml/officeDocument/relationships/image" Target="media/image8.png"/><Relationship Id="rId2" Type="http://purl.oclc.org/ooxml/officeDocument/relationships/numbering" Target="numbering.xml"/><Relationship Id="rId16" Type="http://purl.oclc.org/ooxml/officeDocument/relationships/image" Target="media/image7.png"/><Relationship Id="rId20" Type="http://purl.oclc.org/ooxml/officeDocument/relationships/theme" Target="theme/theme1.xml"/><Relationship Id="rId1" Type="http://purl.oclc.org/ooxml/officeDocument/relationships/customXml" Target="../customXml/item1.xml"/><Relationship Id="rId6" Type="http://purl.oclc.org/ooxml/officeDocument/relationships/footnotes" Target="footnotes.xml"/><Relationship Id="rId11" Type="http://purl.oclc.org/ooxml/officeDocument/relationships/footer" Target="footer2.xml"/><Relationship Id="rId5" Type="http://purl.oclc.org/ooxml/officeDocument/relationships/webSettings" Target="webSettings.xml"/><Relationship Id="rId15" Type="http://purl.oclc.org/ooxml/officeDocument/relationships/image" Target="media/image6.png"/><Relationship Id="rId10" Type="http://purl.oclc.org/ooxml/officeDocument/relationships/footer" Target="footer1.xml"/><Relationship Id="rId19" Type="http://purl.oclc.org/ooxml/officeDocument/relationships/fontTable" Target="fontTable.xml"/><Relationship Id="rId4" Type="http://purl.oclc.org/ooxml/officeDocument/relationships/settings" Target="settings.xml"/><Relationship Id="rId9" Type="http://purl.oclc.org/ooxml/officeDocument/relationships/header" Target="header2.xml"/><Relationship Id="rId14" Type="http://purl.oclc.org/ooxml/officeDocument/relationships/image" Target="media/image5.png"/></Relationships>
</file>

<file path=word/_rels/footer2.xml.rels><?xml version="1.0" encoding="UTF-8" standalone="yes"?>
<Relationships xmlns="http://schemas.openxmlformats.org/package/2006/relationships"><Relationship Id="rId1" Type="http://purl.oclc.org/ooxml/officeDocument/relationships/image" Target="media/image2.png"/></Relationships>
</file>

<file path=word/_rels/footer3.xml.rels><?xml version="1.0" encoding="UTF-8" standalone="yes"?>
<Relationships xmlns="http://schemas.openxmlformats.org/package/2006/relationships"><Relationship Id="rId1" Type="http://purl.oclc.org/ooxml/officeDocument/relationships/image" Target="media/image2.png"/></Relationships>
</file>

<file path=word/_rels/header2.xml.rels><?xml version="1.0" encoding="UTF-8" standalone="yes"?>
<Relationships xmlns="http://schemas.openxmlformats.org/package/2006/relationships"><Relationship Id="rId1" Type="http://purl.oclc.org/ooxml/officeDocument/relationships/image" Target="media/image1.png"/></Relationships>
</file>

<file path=word/_rels/header3.xml.rels><?xml version="1.0" encoding="UTF-8" standalone="yes"?>
<Relationships xmlns="http://schemas.openxmlformats.org/package/2006/relationships"><Relationship Id="rId2" Type="http://purl.oclc.org/ooxml/officeDocument/relationships/image" Target="media/image4.jpeg"/><Relationship Id="rId1" Type="http://purl.oclc.org/ooxml/officeDocument/relationships/image" Target="media/image3.jpeg"/></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purl.oclc.org/ooxml/officeDocument/customXml" ds:itemID="{2AA5DB9E-AF5A-4953-A838-A0E610B93F87}">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Normal</Template>
  <TotalTime>1299</TotalTime>
  <Pages>6</Pages>
  <Words>3192</Words>
  <Characters>18195</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21345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cp:lastModifiedBy>Leila Karami</cp:lastModifiedBy>
  <cp:revision>54</cp:revision>
  <cp:lastPrinted>2021-09-28T06:04:00Z</cp:lastPrinted>
  <dcterms:created xsi:type="dcterms:W3CDTF">2021-07-15T08:04:00Z</dcterms:created>
  <dcterms:modified xsi:type="dcterms:W3CDTF">2021-10-01T15:22:00Z</dcterms:modified>
</cp:coreProperties>
</file>