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761B5" w14:textId="77777777" w:rsidR="005156EC" w:rsidRDefault="005156EC" w:rsidP="00590425">
      <w:pPr>
        <w:pStyle w:val="papertitle"/>
        <w:spacing w:before="100" w:beforeAutospacing="1" w:after="100" w:afterAutospacing="1"/>
        <w:rPr>
          <w:kern w:val="48"/>
        </w:rPr>
      </w:pPr>
      <w:bookmarkStart w:id="0" w:name="_GoBack"/>
      <w:bookmarkEnd w:id="0"/>
    </w:p>
    <w:p w14:paraId="02A140B1" w14:textId="3A7DC15D" w:rsidR="00077572" w:rsidRDefault="00077572" w:rsidP="00025164">
      <w:pPr>
        <w:rPr>
          <w:rFonts w:asciiTheme="majorBidi" w:hAnsiTheme="majorBidi" w:cstheme="majorBidi"/>
          <w:sz w:val="48"/>
          <w:szCs w:val="48"/>
        </w:rPr>
      </w:pPr>
      <w:r w:rsidRPr="00231D3D">
        <w:rPr>
          <w:rFonts w:asciiTheme="majorBidi" w:hAnsiTheme="majorBidi" w:cstheme="majorBidi"/>
          <w:sz w:val="48"/>
          <w:szCs w:val="48"/>
        </w:rPr>
        <w:t xml:space="preserve">Evaluation of albumin binding to </w:t>
      </w:r>
      <w:proofErr w:type="spellStart"/>
      <w:r w:rsidR="008E3264">
        <w:rPr>
          <w:rFonts w:asciiTheme="majorBidi" w:hAnsiTheme="majorBidi" w:cstheme="majorBidi"/>
          <w:sz w:val="48"/>
          <w:szCs w:val="48"/>
        </w:rPr>
        <w:t>L</w:t>
      </w:r>
      <w:r w:rsidRPr="00231D3D">
        <w:rPr>
          <w:rFonts w:asciiTheme="majorBidi" w:hAnsiTheme="majorBidi" w:cstheme="majorBidi"/>
          <w:sz w:val="48"/>
          <w:szCs w:val="48"/>
        </w:rPr>
        <w:t>apatinib</w:t>
      </w:r>
      <w:proofErr w:type="spellEnd"/>
      <w:r w:rsidRPr="00231D3D">
        <w:rPr>
          <w:rFonts w:asciiTheme="majorBidi" w:hAnsiTheme="majorBidi" w:cstheme="majorBidi"/>
          <w:sz w:val="48"/>
          <w:szCs w:val="48"/>
        </w:rPr>
        <w:t xml:space="preserve"> by fluorescence spectroscopy</w:t>
      </w:r>
    </w:p>
    <w:p w14:paraId="5C801104" w14:textId="44A332EC" w:rsidR="006A29BB" w:rsidRPr="008E3264" w:rsidRDefault="00FC6E61" w:rsidP="00BC72B0">
      <w:pPr>
        <w:pStyle w:val="Author"/>
        <w:spacing w:before="0" w:after="0"/>
        <w:rPr>
          <w:sz w:val="20"/>
          <w:szCs w:val="20"/>
        </w:rPr>
      </w:pPr>
      <w:r>
        <w:rPr>
          <w:sz w:val="18"/>
          <w:szCs w:val="18"/>
        </w:rPr>
        <w:t>*</w:t>
      </w:r>
      <w:r w:rsidR="005D097B" w:rsidRPr="00F847A6">
        <w:rPr>
          <w:sz w:val="18"/>
          <w:szCs w:val="18"/>
        </w:rPr>
        <w:t>1</w:t>
      </w:r>
      <w:r w:rsidR="005D097B" w:rsidRPr="00F847A6">
        <w:rPr>
          <w:sz w:val="18"/>
          <w:szCs w:val="18"/>
          <w:vertAlign w:val="superscript"/>
        </w:rPr>
        <w:t>st</w:t>
      </w:r>
      <w:r w:rsidR="005D097B" w:rsidRPr="00F847A6">
        <w:rPr>
          <w:sz w:val="18"/>
          <w:szCs w:val="18"/>
        </w:rPr>
        <w:t xml:space="preserve"> </w:t>
      </w:r>
      <w:r w:rsidR="00DD4A9D" w:rsidRPr="008E3264">
        <w:rPr>
          <w:sz w:val="20"/>
          <w:szCs w:val="20"/>
        </w:rPr>
        <w:t>Marziye mirzazad</w:t>
      </w:r>
      <w:r w:rsidR="002C5D1B" w:rsidRPr="008E3264">
        <w:rPr>
          <w:sz w:val="20"/>
          <w:szCs w:val="20"/>
          <w:vertAlign w:val="superscript"/>
        </w:rPr>
        <w:t>1</w:t>
      </w:r>
      <w:r w:rsidR="00A93B5D" w:rsidRPr="008E3264">
        <w:rPr>
          <w:sz w:val="20"/>
          <w:szCs w:val="20"/>
        </w:rPr>
        <w:t>,</w:t>
      </w:r>
      <w:r w:rsidR="005D097B">
        <w:rPr>
          <w:sz w:val="18"/>
          <w:szCs w:val="18"/>
        </w:rPr>
        <w:t xml:space="preserve"> 2</w:t>
      </w:r>
      <w:r w:rsidR="005D097B">
        <w:rPr>
          <w:sz w:val="18"/>
          <w:szCs w:val="18"/>
          <w:vertAlign w:val="superscript"/>
        </w:rPr>
        <w:t>nd</w:t>
      </w:r>
      <w:r w:rsidR="005D097B" w:rsidRPr="00F847A6">
        <w:rPr>
          <w:sz w:val="18"/>
          <w:szCs w:val="18"/>
        </w:rPr>
        <w:t xml:space="preserve"> </w:t>
      </w:r>
      <w:r w:rsidR="00A93B5D" w:rsidRPr="008E3264">
        <w:rPr>
          <w:sz w:val="20"/>
          <w:szCs w:val="20"/>
        </w:rPr>
        <w:t xml:space="preserve"> </w:t>
      </w:r>
      <w:r w:rsidR="00DD4A9D" w:rsidRPr="008E3264">
        <w:rPr>
          <w:sz w:val="20"/>
          <w:szCs w:val="20"/>
        </w:rPr>
        <w:t>Mostafa shurian</w:t>
      </w:r>
      <w:r w:rsidR="001679E1">
        <w:rPr>
          <w:sz w:val="20"/>
          <w:szCs w:val="20"/>
          <w:vertAlign w:val="superscript"/>
        </w:rPr>
        <w:t>2</w:t>
      </w:r>
      <w:r w:rsidR="00A93B5D" w:rsidRPr="008E3264">
        <w:rPr>
          <w:sz w:val="20"/>
          <w:szCs w:val="20"/>
        </w:rPr>
        <w:t>,</w:t>
      </w:r>
      <w:r w:rsidR="00BC72B0">
        <w:rPr>
          <w:sz w:val="18"/>
          <w:szCs w:val="18"/>
        </w:rPr>
        <w:t xml:space="preserve"> 3</w:t>
      </w:r>
      <w:r w:rsidR="00BC72B0">
        <w:rPr>
          <w:sz w:val="18"/>
          <w:szCs w:val="18"/>
          <w:vertAlign w:val="superscript"/>
        </w:rPr>
        <w:t>rd</w:t>
      </w:r>
      <w:r w:rsidR="00BC72B0" w:rsidRPr="00F847A6">
        <w:rPr>
          <w:sz w:val="18"/>
          <w:szCs w:val="18"/>
        </w:rPr>
        <w:t xml:space="preserve"> </w:t>
      </w:r>
      <w:r w:rsidR="00A93B5D" w:rsidRPr="008E3264">
        <w:rPr>
          <w:sz w:val="20"/>
          <w:szCs w:val="20"/>
        </w:rPr>
        <w:t xml:space="preserve"> </w:t>
      </w:r>
      <w:r w:rsidR="00DD4A9D" w:rsidRPr="008E3264">
        <w:rPr>
          <w:sz w:val="20"/>
          <w:szCs w:val="20"/>
        </w:rPr>
        <w:t>Havva rezae</w:t>
      </w:r>
      <w:r w:rsidR="002C5D1B" w:rsidRPr="008E3264">
        <w:rPr>
          <w:sz w:val="20"/>
          <w:szCs w:val="20"/>
        </w:rPr>
        <w:t>e</w:t>
      </w:r>
      <w:r w:rsidR="001679E1">
        <w:rPr>
          <w:sz w:val="20"/>
          <w:szCs w:val="20"/>
          <w:vertAlign w:val="superscript"/>
        </w:rPr>
        <w:t>3</w:t>
      </w:r>
      <w:r w:rsidR="00DD4A9D" w:rsidRPr="008E3264">
        <w:rPr>
          <w:sz w:val="20"/>
          <w:szCs w:val="20"/>
        </w:rPr>
        <w:br/>
      </w:r>
    </w:p>
    <w:p w14:paraId="3819A683" w14:textId="38BCE677" w:rsidR="006A29BB" w:rsidRDefault="008E3264" w:rsidP="008E3264">
      <w:pPr>
        <w:pStyle w:val="Author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6A29BB" w:rsidRPr="00533F1D">
        <w:rPr>
          <w:sz w:val="24"/>
          <w:szCs w:val="24"/>
          <w:lang w:val="en-GB"/>
        </w:rPr>
        <w:t xml:space="preserve"> </w:t>
      </w:r>
      <w:r w:rsidR="00DD4A9D">
        <w:rPr>
          <w:sz w:val="18"/>
          <w:szCs w:val="18"/>
        </w:rPr>
        <w:t xml:space="preserve">Department of Biology, Faculty of Sciences, University of Guilan, Rasht, </w:t>
      </w:r>
      <w:r w:rsidR="00DD4A9D" w:rsidRPr="00DD4A9D">
        <w:rPr>
          <w:rFonts w:ascii="AngsanaUPC" w:hAnsi="AngsanaUPC" w:cs="AngsanaUPC"/>
          <w:sz w:val="28"/>
          <w:szCs w:val="28"/>
        </w:rPr>
        <w:t>4199613776</w:t>
      </w:r>
      <w:r w:rsidR="00DD4A9D">
        <w:rPr>
          <w:rFonts w:ascii="AngsanaUPC" w:hAnsi="AngsanaUPC" w:cs="AngsanaUPC"/>
          <w:sz w:val="28"/>
          <w:szCs w:val="28"/>
        </w:rPr>
        <w:t xml:space="preserve">, </w:t>
      </w:r>
      <w:r w:rsidR="00DD4A9D" w:rsidRPr="00DD4A9D">
        <w:rPr>
          <w:sz w:val="18"/>
          <w:szCs w:val="18"/>
        </w:rPr>
        <w:t>Iran</w:t>
      </w:r>
    </w:p>
    <w:p w14:paraId="12B82F33" w14:textId="3C8D285B" w:rsidR="001679E1" w:rsidRDefault="001679E1" w:rsidP="001679E1">
      <w:pPr>
        <w:pStyle w:val="Author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533F1D">
        <w:rPr>
          <w:sz w:val="24"/>
          <w:szCs w:val="24"/>
          <w:lang w:val="en-GB"/>
        </w:rPr>
        <w:t xml:space="preserve"> </w:t>
      </w:r>
      <w:r>
        <w:rPr>
          <w:sz w:val="18"/>
          <w:szCs w:val="18"/>
        </w:rPr>
        <w:t xml:space="preserve">Department of Biology, Faculty of Sciences, University of Guilan, Rasht, </w:t>
      </w:r>
      <w:r w:rsidRPr="00DD4A9D">
        <w:rPr>
          <w:rFonts w:ascii="AngsanaUPC" w:hAnsi="AngsanaUPC" w:cs="AngsanaUPC"/>
          <w:sz w:val="28"/>
          <w:szCs w:val="28"/>
        </w:rPr>
        <w:t>4199613776</w:t>
      </w:r>
      <w:r>
        <w:rPr>
          <w:rFonts w:ascii="AngsanaUPC" w:hAnsi="AngsanaUPC" w:cs="AngsanaUPC"/>
          <w:sz w:val="28"/>
          <w:szCs w:val="28"/>
        </w:rPr>
        <w:t xml:space="preserve">, </w:t>
      </w:r>
      <w:r w:rsidRPr="00DD4A9D">
        <w:rPr>
          <w:sz w:val="18"/>
          <w:szCs w:val="18"/>
        </w:rPr>
        <w:t>Iran</w:t>
      </w:r>
    </w:p>
    <w:p w14:paraId="4B15C42F" w14:textId="1F0896A5" w:rsidR="002C5D1B" w:rsidRDefault="001679E1" w:rsidP="008E3264">
      <w:pPr>
        <w:pStyle w:val="Author"/>
        <w:spacing w:before="0" w:after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6A29BB" w:rsidRPr="001E4C0E">
        <w:t xml:space="preserve"> </w:t>
      </w:r>
      <w:r w:rsidR="00DD4A9D">
        <w:rPr>
          <w:sz w:val="18"/>
          <w:szCs w:val="18"/>
        </w:rPr>
        <w:t xml:space="preserve">Department of Chemistry, Faculty of Sciences, University of Guilan, Rasht, </w:t>
      </w:r>
      <w:r w:rsidR="00DD4A9D" w:rsidRPr="00DD4A9D">
        <w:rPr>
          <w:rFonts w:ascii="AngsanaUPC" w:hAnsi="AngsanaUPC" w:cs="AngsanaUPC"/>
          <w:sz w:val="28"/>
          <w:szCs w:val="28"/>
        </w:rPr>
        <w:t>4199613776</w:t>
      </w:r>
      <w:r w:rsidR="00DD4A9D">
        <w:rPr>
          <w:rFonts w:ascii="AngsanaUPC" w:hAnsi="AngsanaUPC" w:cs="AngsanaUPC"/>
          <w:sz w:val="28"/>
          <w:szCs w:val="28"/>
        </w:rPr>
        <w:t xml:space="preserve">, </w:t>
      </w:r>
      <w:r w:rsidR="00DD4A9D" w:rsidRPr="00DD4A9D">
        <w:rPr>
          <w:sz w:val="18"/>
          <w:szCs w:val="18"/>
        </w:rPr>
        <w:t>Iran</w:t>
      </w:r>
    </w:p>
    <w:p w14:paraId="1D141BB0" w14:textId="77777777" w:rsidR="004C694C" w:rsidRDefault="004C694C" w:rsidP="002C5D1B">
      <w:pPr>
        <w:pStyle w:val="Author"/>
        <w:spacing w:before="0"/>
        <w:rPr>
          <w:sz w:val="18"/>
          <w:szCs w:val="18"/>
        </w:rPr>
      </w:pPr>
    </w:p>
    <w:p w14:paraId="0E83626C" w14:textId="77777777" w:rsidR="00291D74" w:rsidRPr="00291D74" w:rsidRDefault="00291D74" w:rsidP="00291D74">
      <w:pPr>
        <w:rPr>
          <w:b/>
          <w:bCs/>
          <w:sz w:val="16"/>
          <w:szCs w:val="16"/>
          <w:rtl/>
        </w:rPr>
      </w:pPr>
      <w:r w:rsidRPr="00291D74">
        <w:rPr>
          <w:color w:val="5F6368"/>
          <w:sz w:val="16"/>
          <w:szCs w:val="16"/>
          <w:shd w:val="clear" w:color="auto" w:fill="FFFFFF"/>
        </w:rPr>
        <w:t>marziyehmirzazad@gmail.com</w:t>
      </w:r>
    </w:p>
    <w:p w14:paraId="5B16892D" w14:textId="77777777" w:rsidR="002C5D1B" w:rsidRPr="00291D74" w:rsidRDefault="002C5D1B" w:rsidP="00025164">
      <w:pPr>
        <w:jc w:val="both"/>
        <w:rPr>
          <w:sz w:val="16"/>
          <w:szCs w:val="16"/>
        </w:rPr>
        <w:sectPr w:rsidR="002C5D1B" w:rsidRPr="00291D74" w:rsidSect="005156EC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893" w:bottom="1440" w:left="893" w:header="720" w:footer="720" w:gutter="0"/>
          <w:cols w:space="720"/>
          <w:docGrid w:linePitch="360"/>
        </w:sectPr>
      </w:pPr>
    </w:p>
    <w:p w14:paraId="388D4CA1" w14:textId="77777777" w:rsidR="003A644E" w:rsidRDefault="003A644E" w:rsidP="00025164">
      <w:pPr>
        <w:jc w:val="both"/>
        <w:sectPr w:rsidR="003A644E" w:rsidSect="005156EC">
          <w:type w:val="continuous"/>
          <w:pgSz w:w="11906" w:h="16838" w:code="9"/>
          <w:pgMar w:top="2268" w:right="893" w:bottom="1440" w:left="893" w:header="720" w:footer="720" w:gutter="0"/>
          <w:cols w:num="3" w:space="720"/>
          <w:docGrid w:linePitch="360"/>
        </w:sectPr>
      </w:pPr>
    </w:p>
    <w:p w14:paraId="79F258E8" w14:textId="77777777" w:rsidR="004A036B" w:rsidRDefault="004A036B" w:rsidP="00025164">
      <w:pPr>
        <w:jc w:val="both"/>
      </w:pPr>
    </w:p>
    <w:p w14:paraId="6149A302" w14:textId="77777777" w:rsidR="004A036B" w:rsidRDefault="004A036B" w:rsidP="004A036B">
      <w:pPr>
        <w:sectPr w:rsidR="004A036B" w:rsidSect="003B4E04">
          <w:headerReference w:type="first" r:id="rId12"/>
          <w:footerReference w:type="first" r:id="rId13"/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</w:p>
    <w:p w14:paraId="60FF5EC3" w14:textId="77777777" w:rsidR="004A036B" w:rsidRDefault="004A036B" w:rsidP="004A036B"/>
    <w:p w14:paraId="1E5D1C83" w14:textId="2D0A96D1" w:rsidR="00EC5220" w:rsidRDefault="004A036B" w:rsidP="00E03933">
      <w:pPr>
        <w:pStyle w:val="Abstract"/>
      </w:pPr>
      <w:r>
        <w:rPr>
          <w:i/>
          <w:iCs/>
        </w:rPr>
        <w:t>Abstract</w:t>
      </w:r>
      <w:r w:rsidR="000D731C">
        <w:t>:</w:t>
      </w:r>
      <w:r w:rsidR="00EC5220" w:rsidRPr="00EC5220">
        <w:t xml:space="preserve"> </w:t>
      </w:r>
      <w:r w:rsidR="00EC5220">
        <w:t>Breast cancer is the second most common cancer, occurring in approximately 75% of women with HER2 receptor-positive breast cancer</w:t>
      </w:r>
      <w:r w:rsidR="000D731C">
        <w:t xml:space="preserve"> </w:t>
      </w:r>
      <w:r w:rsidR="00AE24F5">
        <w:fldChar w:fldCharType="begin"/>
      </w:r>
      <w:r w:rsidR="000D731C">
        <w:instrText xml:space="preserve"> ADDIN EN.CITE &lt;EndNote&gt;&lt;Cite&gt;&lt;Author&gt;Riemsma&lt;/Author&gt;&lt;Year&gt;2012&lt;/Year&gt;&lt;RecNum&gt;45&lt;/RecNum&gt;&lt;DisplayText&gt;[1]&lt;/DisplayText&gt;&lt;record&gt;&lt;rec-number&gt;45&lt;/rec-number&gt;&lt;foreign-keys&gt;&lt;key app="EN" db-id="0pptffxfxpvxdmezsab5wpd290fxz5dxt02a" timestamp="1587221356"&gt;45&lt;/key&gt;&lt;/foreign-keys&gt;&lt;ref-type name="Journal Article"&gt;17&lt;/ref-type&gt;&lt;contributors&gt;&lt;authors&gt;&lt;author&gt;Riemsma, Rob&lt;/author&gt;&lt;author&gt;Forbes, Carol A&lt;/author&gt;&lt;author&gt;Amonkar, Mayur M&lt;/author&gt;&lt;author&gt;Lykopoulos, Konstantinos&lt;/author&gt;&lt;author&gt;Diaz, Jose R&lt;/author&gt;&lt;author&gt;Kleijnen, Jos&lt;/author&gt;&lt;author&gt;Rea, Daniel W&lt;/author&gt;&lt;/authors&gt;&lt;/contributors&gt;&lt;titles&gt;&lt;title&gt;Systematic review of lapatinib in combination with letrozole compared with other first-line treatments for hormone receptor positive (HR+) and HER2+ advanced or metastatic breast cancer (MBC)&lt;/title&gt;&lt;secondary-title&gt;Current medical research and opinion&lt;/secondary-title&gt;&lt;/titles&gt;&lt;periodical&gt;&lt;full-title&gt;Current medical research and opinion&lt;/full-title&gt;&lt;/periodical&gt;&lt;pages&gt;1263-1279&lt;/pages&gt;&lt;volume&gt;28&lt;/volume&gt;&lt;number&gt;8&lt;/number&gt;&lt;dates&gt;&lt;year&gt;2012&lt;/year&gt;&lt;/dates&gt;&lt;isbn&gt;0300-7995&lt;/isbn&gt;&lt;urls&gt;&lt;/urls&gt;&lt;/record&gt;&lt;/Cite&gt;&lt;/EndNote&gt;</w:instrText>
      </w:r>
      <w:r w:rsidR="00AE24F5">
        <w:fldChar w:fldCharType="separate"/>
      </w:r>
      <w:r w:rsidR="000D731C">
        <w:rPr>
          <w:noProof/>
        </w:rPr>
        <w:t>[1]</w:t>
      </w:r>
      <w:r w:rsidR="00AE24F5">
        <w:fldChar w:fldCharType="end"/>
      </w:r>
      <w:r w:rsidR="000D731C">
        <w:t>.</w:t>
      </w:r>
      <w:r w:rsidR="00EC5220">
        <w:t xml:space="preserve"> </w:t>
      </w:r>
      <w:proofErr w:type="spellStart"/>
      <w:r w:rsidR="00EC5220">
        <w:t>Lapatinib</w:t>
      </w:r>
      <w:proofErr w:type="spellEnd"/>
      <w:r w:rsidR="00EC5220">
        <w:t xml:space="preserve"> is one of the effective drugs on cancerous masses that after oral administration will have side effects such as nausea, diarrhea and rash.</w:t>
      </w:r>
      <w:r w:rsidR="00FE5221" w:rsidRPr="00FE5221">
        <w:t xml:space="preserve"> As a result, </w:t>
      </w:r>
      <w:proofErr w:type="spellStart"/>
      <w:r w:rsidR="000D731C">
        <w:t>L</w:t>
      </w:r>
      <w:r w:rsidR="00FE5221" w:rsidRPr="00FE5221">
        <w:t>apatinib</w:t>
      </w:r>
      <w:proofErr w:type="spellEnd"/>
      <w:r w:rsidR="00FE5221" w:rsidRPr="00FE5221">
        <w:t xml:space="preserve"> should be used </w:t>
      </w:r>
      <w:r w:rsidR="000D731C" w:rsidRPr="00FE5221">
        <w:t>intravenously</w:t>
      </w:r>
      <w:r w:rsidR="000D731C">
        <w:t xml:space="preserve">. </w:t>
      </w:r>
      <w:r w:rsidR="00EC5220">
        <w:t xml:space="preserve">Nanoparticles such as albumin, one of the most abundant proteins in plasma, should be used. </w:t>
      </w:r>
      <w:r w:rsidR="007A3526">
        <w:t xml:space="preserve"> </w:t>
      </w:r>
      <w:r w:rsidR="000D731C">
        <w:t xml:space="preserve">Human Serum </w:t>
      </w:r>
      <w:r w:rsidR="007A3526" w:rsidRPr="007A3526">
        <w:t xml:space="preserve">Albumin </w:t>
      </w:r>
      <w:r w:rsidR="000D731C">
        <w:t xml:space="preserve">(HSA) </w:t>
      </w:r>
      <w:r w:rsidR="007A3526" w:rsidRPr="007A3526">
        <w:t xml:space="preserve">has a half-life of about 19 </w:t>
      </w:r>
      <w:r w:rsidR="000D731C" w:rsidRPr="007A3526">
        <w:t xml:space="preserve">days. </w:t>
      </w:r>
      <w:r w:rsidR="00EC5220">
        <w:t xml:space="preserve">The negative 24 charge in </w:t>
      </w:r>
      <w:r w:rsidR="000D731C" w:rsidRPr="000D731C">
        <w:t>HSA</w:t>
      </w:r>
      <w:r w:rsidR="00EC5220">
        <w:t xml:space="preserve"> leads to an increase in its solubility in water, which this negatively prevents the removal of nanoparticles from the kidney and leads to its transfer to the </w:t>
      </w:r>
      <w:proofErr w:type="spellStart"/>
      <w:r w:rsidR="00EC5220">
        <w:t>FCRn</w:t>
      </w:r>
      <w:proofErr w:type="spellEnd"/>
      <w:r w:rsidR="00EC5220">
        <w:t xml:space="preserve"> recycling pathway which prevents the destruction of lysosomes in endothelial cells (which absorb serum proteins) </w:t>
      </w:r>
      <w:r w:rsidR="008F5F5F">
        <w:fldChar w:fldCharType="begin"/>
      </w:r>
      <w:r w:rsidR="008F5F5F">
        <w:instrText xml:space="preserve"> ADDIN EN.CITE &lt;EndNote&gt;&lt;Cite&gt;&lt;Author&gt;Zorzi&lt;/Author&gt;&lt;Year&gt;2019&lt;/Year&gt;&lt;RecNum&gt;30&lt;/RecNum&gt;&lt;DisplayText&gt;[2]&lt;/DisplayText&gt;&lt;record&gt;&lt;rec-number&gt;30&lt;/rec-number&gt;&lt;foreign-keys&gt;&lt;key app="EN" db-id="0pptffxfxpvxdmezsab5wpd290fxz5dxt02a" timestamp="1585507037"&gt;30&lt;/key&gt;&lt;/foreign-keys&gt;&lt;ref-type name="Journal Article"&gt;17&lt;/ref-type&gt;&lt;contributors&gt;&lt;authors&gt;&lt;author&gt;Zorzi, Alessandro&lt;/author&gt;&lt;author&gt;Linciano, Sara&lt;/author&gt;&lt;author&gt;Angelini, Alessandro&lt;/author&gt;&lt;/authors&gt;&lt;/contributors&gt;&lt;titles&gt;&lt;title&gt;Non-covalent albumin-binding ligands for extending the circulating half-life of small biotherapeutics&lt;/title&gt;&lt;secondary-title&gt;MedChemComm&lt;/secondary-title&gt;&lt;/titles&gt;&lt;periodical&gt;&lt;full-title&gt;MedChemComm&lt;/full-title&gt;&lt;/periodical&gt;&lt;pages&gt;1068-1081&lt;/pages&gt;&lt;volume&gt;10&lt;/volume&gt;&lt;number&gt;7&lt;/number&gt;&lt;dates&gt;&lt;year&gt;2019&lt;/year&gt;&lt;/dates&gt;&lt;urls&gt;&lt;/urls&gt;&lt;/record&gt;&lt;/Cite&gt;&lt;/EndNote&gt;</w:instrText>
      </w:r>
      <w:r w:rsidR="008F5F5F">
        <w:fldChar w:fldCharType="separate"/>
      </w:r>
      <w:r w:rsidR="008F5F5F">
        <w:rPr>
          <w:noProof/>
        </w:rPr>
        <w:t>[2]</w:t>
      </w:r>
      <w:r w:rsidR="008F5F5F">
        <w:fldChar w:fldCharType="end"/>
      </w:r>
      <w:r w:rsidR="000D731C">
        <w:t>.</w:t>
      </w:r>
    </w:p>
    <w:p w14:paraId="4E9F4CEA" w14:textId="77777777" w:rsidR="008A2A04" w:rsidRDefault="00EC5220" w:rsidP="00E03933">
      <w:pPr>
        <w:rPr>
          <w:rFonts w:asciiTheme="majorBidi" w:hAnsiTheme="majorBidi" w:cstheme="majorBidi"/>
          <w:b/>
          <w:bCs/>
          <w:sz w:val="18"/>
          <w:szCs w:val="18"/>
        </w:rPr>
      </w:pPr>
      <w:r>
        <w:t xml:space="preserve"> </w:t>
      </w:r>
      <w:r w:rsidRPr="00FA4E19">
        <w:rPr>
          <w:b/>
          <w:bCs/>
          <w:sz w:val="18"/>
          <w:szCs w:val="18"/>
        </w:rPr>
        <w:t xml:space="preserve">First we have </w:t>
      </w:r>
      <w:r w:rsidR="000D731C" w:rsidRPr="00FA4E19">
        <w:rPr>
          <w:b/>
          <w:bCs/>
          <w:sz w:val="18"/>
          <w:szCs w:val="18"/>
        </w:rPr>
        <w:t>to bind</w:t>
      </w:r>
      <w:r w:rsidRPr="00FA4E19">
        <w:rPr>
          <w:b/>
          <w:bCs/>
          <w:sz w:val="18"/>
          <w:szCs w:val="18"/>
        </w:rPr>
        <w:t xml:space="preserve"> </w:t>
      </w:r>
      <w:proofErr w:type="spellStart"/>
      <w:r w:rsidR="000D731C" w:rsidRPr="00FA4E19">
        <w:rPr>
          <w:b/>
          <w:bCs/>
          <w:sz w:val="18"/>
          <w:szCs w:val="18"/>
        </w:rPr>
        <w:t>Lapatinib</w:t>
      </w:r>
      <w:proofErr w:type="spellEnd"/>
      <w:r w:rsidR="000D731C" w:rsidRPr="00FA4E19">
        <w:rPr>
          <w:b/>
          <w:bCs/>
          <w:sz w:val="18"/>
          <w:szCs w:val="18"/>
        </w:rPr>
        <w:t xml:space="preserve"> to</w:t>
      </w:r>
      <w:r w:rsidRPr="00FA4E19">
        <w:rPr>
          <w:b/>
          <w:bCs/>
          <w:sz w:val="18"/>
          <w:szCs w:val="18"/>
        </w:rPr>
        <w:t xml:space="preserve"> </w:t>
      </w:r>
      <w:r w:rsidR="000D731C" w:rsidRPr="00FA4E19">
        <w:rPr>
          <w:b/>
          <w:bCs/>
          <w:sz w:val="18"/>
          <w:szCs w:val="18"/>
        </w:rPr>
        <w:t>HSA</w:t>
      </w:r>
      <w:r w:rsidRPr="00FA4E19">
        <w:rPr>
          <w:b/>
          <w:bCs/>
          <w:sz w:val="18"/>
          <w:szCs w:val="18"/>
        </w:rPr>
        <w:t xml:space="preserve">. For this connection, </w:t>
      </w:r>
      <w:r w:rsidR="000D731C" w:rsidRPr="00FA4E19">
        <w:rPr>
          <w:b/>
          <w:bCs/>
          <w:sz w:val="18"/>
          <w:szCs w:val="18"/>
        </w:rPr>
        <w:t>HSA</w:t>
      </w:r>
      <w:r w:rsidRPr="00FA4E19">
        <w:rPr>
          <w:b/>
          <w:bCs/>
          <w:sz w:val="18"/>
          <w:szCs w:val="18"/>
        </w:rPr>
        <w:t xml:space="preserve"> was buffered and </w:t>
      </w:r>
      <w:proofErr w:type="spellStart"/>
      <w:r w:rsidR="000D731C" w:rsidRPr="00FA4E19">
        <w:rPr>
          <w:b/>
          <w:bCs/>
          <w:sz w:val="18"/>
          <w:szCs w:val="18"/>
        </w:rPr>
        <w:t>L</w:t>
      </w:r>
      <w:r w:rsidRPr="00FA4E19">
        <w:rPr>
          <w:b/>
          <w:bCs/>
          <w:sz w:val="18"/>
          <w:szCs w:val="18"/>
        </w:rPr>
        <w:t>apatinib</w:t>
      </w:r>
      <w:proofErr w:type="spellEnd"/>
      <w:r w:rsidRPr="00FA4E19">
        <w:rPr>
          <w:b/>
          <w:bCs/>
          <w:sz w:val="18"/>
          <w:szCs w:val="18"/>
        </w:rPr>
        <w:t xml:space="preserve"> was concentrated to DMSO </w:t>
      </w:r>
      <w:r w:rsidR="000D731C" w:rsidRPr="00FA4E19">
        <w:rPr>
          <w:b/>
          <w:bCs/>
          <w:sz w:val="18"/>
          <w:szCs w:val="18"/>
        </w:rPr>
        <w:t>with</w:t>
      </w:r>
      <w:r w:rsidRPr="00FA4E19">
        <w:rPr>
          <w:b/>
          <w:bCs/>
          <w:sz w:val="18"/>
          <w:szCs w:val="18"/>
        </w:rPr>
        <w:t xml:space="preserve"> the desired concentration, and then the two soluti</w:t>
      </w:r>
      <w:r w:rsidR="000D731C" w:rsidRPr="00FA4E19">
        <w:rPr>
          <w:b/>
          <w:bCs/>
          <w:sz w:val="18"/>
          <w:szCs w:val="18"/>
        </w:rPr>
        <w:t xml:space="preserve">ons were mixed in a ratio of 1:1. </w:t>
      </w:r>
      <w:r w:rsidRPr="00FA4E19">
        <w:rPr>
          <w:b/>
          <w:bCs/>
          <w:sz w:val="18"/>
          <w:szCs w:val="18"/>
        </w:rPr>
        <w:t xml:space="preserve"> </w:t>
      </w:r>
      <w:r w:rsidR="00FA4E19" w:rsidRPr="00FA4E19">
        <w:rPr>
          <w:rFonts w:asciiTheme="majorBidi" w:hAnsiTheme="majorBidi" w:cstheme="majorBidi"/>
          <w:b/>
          <w:bCs/>
          <w:sz w:val="18"/>
          <w:szCs w:val="18"/>
        </w:rPr>
        <w:t>The LAP_H</w:t>
      </w:r>
      <w:r w:rsidR="008A2A04">
        <w:rPr>
          <w:rFonts w:asciiTheme="majorBidi" w:hAnsiTheme="majorBidi" w:cstheme="majorBidi"/>
          <w:b/>
          <w:bCs/>
          <w:sz w:val="18"/>
          <w:szCs w:val="18"/>
        </w:rPr>
        <w:t xml:space="preserve">SA bond is formed as </w:t>
      </w:r>
      <w:proofErr w:type="gramStart"/>
      <w:r w:rsidR="008A2A04">
        <w:rPr>
          <w:rFonts w:asciiTheme="majorBidi" w:hAnsiTheme="majorBidi" w:cstheme="majorBidi"/>
          <w:b/>
          <w:bCs/>
          <w:sz w:val="18"/>
          <w:szCs w:val="18"/>
        </w:rPr>
        <w:t>a hydrogen</w:t>
      </w:r>
      <w:proofErr w:type="gramEnd"/>
      <w:r w:rsidR="008A2A04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</w:p>
    <w:p w14:paraId="751B967E" w14:textId="473FFEFD" w:rsidR="00EC5220" w:rsidRPr="008A2A04" w:rsidRDefault="00FA4E19" w:rsidP="00E03933">
      <w:pPr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FA4E19">
        <w:rPr>
          <w:rFonts w:asciiTheme="majorBidi" w:hAnsiTheme="majorBidi" w:cstheme="majorBidi"/>
          <w:b/>
          <w:bCs/>
          <w:sz w:val="18"/>
          <w:szCs w:val="18"/>
        </w:rPr>
        <w:t xml:space="preserve">bond at position III by the hydrogen atom Tyr161 albumin and the oxygen atom </w:t>
      </w:r>
      <w:proofErr w:type="spellStart"/>
      <w:r w:rsidRPr="00FA4E19">
        <w:rPr>
          <w:rFonts w:asciiTheme="majorBidi" w:hAnsiTheme="majorBidi" w:cstheme="majorBidi"/>
          <w:b/>
          <w:bCs/>
          <w:sz w:val="18"/>
          <w:szCs w:val="18"/>
        </w:rPr>
        <w:t>lapatinib</w:t>
      </w:r>
      <w:proofErr w:type="spellEnd"/>
      <w:r w:rsidRPr="00FA4E19">
        <w:rPr>
          <w:rFonts w:asciiTheme="majorBidi" w:hAnsiTheme="majorBidi" w:cstheme="majorBidi"/>
          <w:b/>
          <w:bCs/>
          <w:sz w:val="18"/>
          <w:szCs w:val="18"/>
        </w:rPr>
        <w:t xml:space="preserve">, and at positions II and I </w:t>
      </w:r>
      <w:r w:rsidRPr="00FA4E19">
        <w:rPr>
          <w:rFonts w:asciiTheme="majorBidi" w:hAnsiTheme="majorBidi" w:cstheme="majorBidi" w:hint="cs"/>
          <w:b/>
          <w:bCs/>
          <w:sz w:val="18"/>
          <w:szCs w:val="18"/>
          <w:rtl/>
          <w:lang w:bidi="fa-IR"/>
        </w:rPr>
        <w:t>،</w:t>
      </w:r>
      <w:r w:rsidRPr="00FA4E19">
        <w:rPr>
          <w:rFonts w:asciiTheme="majorBidi" w:hAnsiTheme="majorBidi" w:cstheme="majorBidi"/>
          <w:b/>
          <w:bCs/>
          <w:sz w:val="18"/>
          <w:szCs w:val="18"/>
        </w:rPr>
        <w:t xml:space="preserve"> 1 </w:t>
      </w:r>
      <w:r w:rsidR="00B034DE">
        <w:rPr>
          <w:rFonts w:asciiTheme="majorBidi" w:hAnsiTheme="majorBidi" w:cstheme="majorBidi"/>
          <w:b/>
          <w:bCs/>
          <w:sz w:val="18"/>
          <w:szCs w:val="18"/>
        </w:rPr>
        <w:t>a</w:t>
      </w:r>
      <w:r w:rsidRPr="00FA4E19">
        <w:rPr>
          <w:rFonts w:asciiTheme="majorBidi" w:hAnsiTheme="majorBidi" w:cstheme="majorBidi"/>
          <w:b/>
          <w:bCs/>
          <w:sz w:val="18"/>
          <w:szCs w:val="18"/>
        </w:rPr>
        <w:t>nd 2 hydrogen bond will be established for bonding, respectively</w:t>
      </w:r>
      <w:r w:rsidR="00EC5220" w:rsidRPr="00FA4E19">
        <w:rPr>
          <w:b/>
          <w:bCs/>
          <w:sz w:val="18"/>
          <w:szCs w:val="18"/>
        </w:rPr>
        <w:t>.</w:t>
      </w:r>
      <w:r w:rsidR="002875E1" w:rsidRPr="00FA4E19">
        <w:rPr>
          <w:b/>
          <w:bCs/>
          <w:sz w:val="18"/>
          <w:szCs w:val="18"/>
        </w:rPr>
        <w:fldChar w:fldCharType="begin"/>
      </w:r>
      <w:r w:rsidR="008F5F5F" w:rsidRPr="00FA4E19">
        <w:rPr>
          <w:b/>
          <w:bCs/>
          <w:sz w:val="18"/>
          <w:szCs w:val="18"/>
        </w:rPr>
        <w:instrText xml:space="preserve"> ADDIN EN.CITE &lt;EndNote&gt;&lt;Cite&gt;&lt;Author&gt;Kabir&lt;/Author&gt;&lt;Year&gt;2016&lt;/Year&gt;&lt;RecNum&gt;120&lt;/RecNum&gt;&lt;DisplayText&gt;[3]&lt;/DisplayText&gt;&lt;record&gt;&lt;rec-number&gt;120&lt;/rec-number&gt;&lt;foreign-keys&gt;&lt;key app="EN" db-id="0pptffxfxpvxdmezsab5wpd290fxz5dxt02a" timestamp="1636745599"&gt;120&lt;/key&gt;&lt;/foreign-keys&gt;&lt;ref-type name="Journal Article"&gt;17&lt;/ref-type&gt;&lt;contributors&gt;&lt;authors&gt;&lt;author&gt;Kabir, Md Zahirul&lt;/author&gt;&lt;author&gt;Mukarram, Abdul Kadir&lt;/author&gt;&lt;author&gt;Mohamad, Saharuddin B&lt;/author&gt;&lt;author&gt;Alias, Zazali&lt;/author&gt;&lt;author&gt;Tayyab, Saad&lt;/author&gt;&lt;/authors&gt;&lt;/contributors&gt;&lt;titles&gt;&lt;title&gt;Characterization of the binding of an anticancer drug, lapatinib to human serum albumin&lt;/title&gt;&lt;secondary-title&gt;Journal of Photochemistry and Photobiology B: Biology&lt;/secondary-title&gt;&lt;/titles&gt;&lt;periodical&gt;&lt;full-title&gt;Journal of Photochemistry and Photobiology B: Biology&lt;/full-title&gt;&lt;/periodical&gt;&lt;pages&gt;229-239&lt;/pages&gt;&lt;volume&gt;160&lt;/volume&gt;&lt;dates&gt;&lt;year&gt;2016&lt;/year&gt;&lt;/dates&gt;&lt;isbn&gt;1011-1344&lt;/isbn&gt;&lt;urls&gt;&lt;/urls&gt;&lt;/record&gt;&lt;/Cite&gt;&lt;/EndNote&gt;</w:instrText>
      </w:r>
      <w:r w:rsidR="002875E1" w:rsidRPr="00FA4E19">
        <w:rPr>
          <w:b/>
          <w:bCs/>
          <w:sz w:val="18"/>
          <w:szCs w:val="18"/>
        </w:rPr>
        <w:fldChar w:fldCharType="separate"/>
      </w:r>
      <w:r w:rsidR="008F5F5F" w:rsidRPr="00FA4E19">
        <w:rPr>
          <w:b/>
          <w:bCs/>
          <w:noProof/>
          <w:sz w:val="18"/>
          <w:szCs w:val="18"/>
        </w:rPr>
        <w:t>[3]</w:t>
      </w:r>
      <w:r w:rsidR="002875E1" w:rsidRPr="00FA4E19">
        <w:rPr>
          <w:b/>
          <w:bCs/>
          <w:sz w:val="18"/>
          <w:szCs w:val="18"/>
        </w:rPr>
        <w:fldChar w:fldCharType="end"/>
      </w:r>
    </w:p>
    <w:p w14:paraId="3FE35347" w14:textId="152ED6F5" w:rsidR="004A036B" w:rsidRDefault="000D731C" w:rsidP="00E03933">
      <w:pPr>
        <w:pStyle w:val="Abstract"/>
        <w:ind w:firstLine="0"/>
        <w:rPr>
          <w:i/>
          <w:iCs/>
        </w:rPr>
      </w:pPr>
      <w:r>
        <w:t>The loading</w:t>
      </w:r>
      <w:r w:rsidR="00EC5220">
        <w:t xml:space="preserve"> of </w:t>
      </w:r>
      <w:proofErr w:type="spellStart"/>
      <w:r>
        <w:t>L</w:t>
      </w:r>
      <w:r w:rsidR="00EC5220">
        <w:t>apatinib</w:t>
      </w:r>
      <w:proofErr w:type="spellEnd"/>
      <w:r w:rsidR="00EC5220">
        <w:t xml:space="preserve"> in </w:t>
      </w:r>
      <w:r w:rsidRPr="000D731C">
        <w:t>HSA</w:t>
      </w:r>
      <w:r w:rsidR="00EC5220">
        <w:t xml:space="preserve"> </w:t>
      </w:r>
      <w:r>
        <w:t xml:space="preserve">was determined </w:t>
      </w:r>
      <w:r w:rsidR="00EC5220">
        <w:t xml:space="preserve">by drawing a calibration sample and </w:t>
      </w:r>
      <w:proofErr w:type="spellStart"/>
      <w:r w:rsidR="00EC5220">
        <w:t>Uv</w:t>
      </w:r>
      <w:proofErr w:type="spellEnd"/>
      <w:r>
        <w:t>-</w:t>
      </w:r>
      <w:r w:rsidR="00EC5220">
        <w:t xml:space="preserve">visible </w:t>
      </w:r>
      <w:r>
        <w:t xml:space="preserve">technique. </w:t>
      </w:r>
      <w:r w:rsidR="0067543D" w:rsidRPr="0067543D">
        <w:t xml:space="preserve">To draw a calibration diagram, we prepared different concentrations of </w:t>
      </w:r>
      <w:proofErr w:type="spellStart"/>
      <w:r>
        <w:t>L</w:t>
      </w:r>
      <w:r w:rsidR="0067543D" w:rsidRPr="0067543D">
        <w:t>apatinib</w:t>
      </w:r>
      <w:proofErr w:type="spellEnd"/>
      <w:r w:rsidR="0067543D" w:rsidRPr="0067543D">
        <w:t xml:space="preserve"> by UV-visible spectroscopy</w:t>
      </w:r>
      <w:r>
        <w:t>.</w:t>
      </w:r>
      <w:r w:rsidR="0067543D" w:rsidRPr="0067543D">
        <w:t xml:space="preserve"> </w:t>
      </w:r>
      <w:r w:rsidRPr="0067543D">
        <w:t>We</w:t>
      </w:r>
      <w:r w:rsidR="0067543D" w:rsidRPr="0067543D">
        <w:t xml:space="preserve"> concluded that with increasing drug concentration, the absorption will also inc</w:t>
      </w:r>
      <w:r>
        <w:t>rease at the maximum wavelength</w:t>
      </w:r>
      <w:r w:rsidR="00EC5220">
        <w:t xml:space="preserve"> </w:t>
      </w:r>
      <w:r w:rsidR="00245E8F">
        <w:fldChar w:fldCharType="begin"/>
      </w:r>
      <w:r w:rsidR="008F5F5F">
        <w:instrText xml:space="preserve"> ADDIN EN.CITE &lt;EndNote&gt;&lt;Cite&gt;&lt;Author&gt;Iyer&lt;/Author&gt;&lt;Year&gt;2010&lt;/Year&gt;&lt;RecNum&gt;117&lt;/RecNum&gt;&lt;DisplayText&gt;[4]&lt;/DisplayText&gt;&lt;record&gt;&lt;rec-number&gt;117&lt;/rec-number&gt;&lt;foreign-keys&gt;&lt;key app="EN" db-id="0pptffxfxpvxdmezsab5wpd290fxz5dxt02a" timestamp="1636625280"&gt;117&lt;/key&gt;&lt;/foreign-keys&gt;&lt;ref-type name="Journal Article"&gt;17&lt;/ref-type&gt;&lt;contributors&gt;&lt;authors&gt;&lt;author&gt;Iyer, Shalini&lt;/author&gt;&lt;author&gt;Darley, Paula I&lt;/author&gt;&lt;author&gt;Acharya, K Ravi&lt;/author&gt;&lt;/authors&gt;&lt;/contributors&gt;&lt;titles&gt;&lt;title&gt;Structural insights into the binding of vascular endothelial growth factor-B by VEGFR-1D2: Recognition and specificity&lt;/title&gt;&lt;secondary-title&gt;Journal of Biological Chemistry&lt;/secondary-title&gt;&lt;/titles&gt;&lt;periodical&gt;&lt;full-title&gt;Journal of Biological Chemistry&lt;/full-title&gt;&lt;/periodical&gt;&lt;pages&gt;23779-23789&lt;/pages&gt;&lt;volume&gt;285&lt;/volume&gt;&lt;number&gt;31&lt;/number&gt;&lt;dates&gt;&lt;year&gt;2010&lt;/year&gt;&lt;/dates&gt;&lt;isbn&gt;0021-9258&lt;/isbn&gt;&lt;urls&gt;&lt;/urls&gt;&lt;/record&gt;&lt;/Cite&gt;&lt;/EndNote&gt;</w:instrText>
      </w:r>
      <w:r w:rsidR="00245E8F">
        <w:fldChar w:fldCharType="separate"/>
      </w:r>
      <w:r w:rsidR="008F5F5F">
        <w:rPr>
          <w:noProof/>
        </w:rPr>
        <w:t>[4]</w:t>
      </w:r>
      <w:r w:rsidR="00245E8F">
        <w:fldChar w:fldCharType="end"/>
      </w:r>
      <w:r>
        <w:t xml:space="preserve">. </w:t>
      </w:r>
      <w:r w:rsidR="00EC5220">
        <w:t xml:space="preserve">HSA dissolved in </w:t>
      </w:r>
      <w:r>
        <w:t>saline buffer</w:t>
      </w:r>
      <w:r w:rsidR="00EC5220">
        <w:t xml:space="preserve"> </w:t>
      </w:r>
      <w:r>
        <w:t>excited</w:t>
      </w:r>
      <w:r w:rsidR="00EC5220">
        <w:t xml:space="preserve"> at 280 nm, and </w:t>
      </w:r>
      <w:r>
        <w:t xml:space="preserve">emitted </w:t>
      </w:r>
      <w:r w:rsidR="00EC5220">
        <w:t>at 343 nm .</w:t>
      </w:r>
      <w:r w:rsidR="00245E8F">
        <w:fldChar w:fldCharType="begin"/>
      </w:r>
      <w:r w:rsidR="008F5F5F">
        <w:instrText xml:space="preserve"> ADDIN EN.CITE &lt;EndNote&gt;&lt;Cite&gt;&lt;Author&gt;Kabir&lt;/Author&gt;&lt;Year&gt;2016&lt;/Year&gt;&lt;RecNum&gt;67&lt;/RecNum&gt;&lt;DisplayText&gt;[3]&lt;/DisplayText&gt;&lt;record&gt;&lt;rec-number&gt;67&lt;/rec-number&gt;&lt;foreign-keys&gt;&lt;key app="EN" db-id="0pptffxfxpvxdmezsab5wpd290fxz5dxt02a" timestamp="1624055020"&gt;67&lt;/key&gt;&lt;/foreign-keys&gt;&lt;ref-type name="Journal Article"&gt;17&lt;/ref-type&gt;&lt;contributors&gt;&lt;authors&gt;&lt;author&gt;Kabir, Md Zahirul&lt;/author&gt;&lt;author&gt;Mukarram, Abdul Kadir&lt;/author&gt;&lt;author&gt;Mohamad, Saharuddin B&lt;/author&gt;&lt;author&gt;Alias, Zazali&lt;/author&gt;&lt;author&gt;Tayyab, Saad&lt;/author&gt;&lt;/authors&gt;&lt;/contributors&gt;&lt;titles&gt;&lt;title&gt;Characterization of the binding of an anticancer drug, lapatinib to human serum albumin&lt;/title&gt;&lt;secondary-title&gt;Journal of Photochemistry and Photobiology B: Biology&lt;/secondary-title&gt;&lt;/titles&gt;&lt;periodical&gt;&lt;full-title&gt;Journal of Photochemistry and Photobiology B: Biology&lt;/full-title&gt;&lt;/periodical&gt;&lt;pages&gt;229-239&lt;/pages&gt;&lt;volume&gt;160&lt;/volume&gt;&lt;dates&gt;&lt;year&gt;2016&lt;/year&gt;&lt;/dates&gt;&lt;isbn&gt;1011-1344&lt;/isbn&gt;&lt;urls&gt;&lt;/urls&gt;&lt;/record&gt;&lt;/Cite&gt;&lt;/EndNote&gt;</w:instrText>
      </w:r>
      <w:r w:rsidR="00245E8F">
        <w:fldChar w:fldCharType="separate"/>
      </w:r>
      <w:r w:rsidR="008F5F5F">
        <w:rPr>
          <w:noProof/>
        </w:rPr>
        <w:t>[3]</w:t>
      </w:r>
      <w:r w:rsidR="00245E8F">
        <w:fldChar w:fldCharType="end"/>
      </w:r>
      <w:r w:rsidR="00EC5220">
        <w:t xml:space="preserve"> HSA contains endogenous fluorophores, which include tyrosine and tryptophan</w:t>
      </w:r>
      <w:r>
        <w:t xml:space="preserve"> </w:t>
      </w:r>
      <w:r w:rsidR="00245E8F">
        <w:fldChar w:fldCharType="begin"/>
      </w:r>
      <w:r w:rsidR="008F5F5F">
        <w:instrText xml:space="preserve"> ADDIN EN.CITE &lt;EndNote&gt;&lt;Cite&gt;&lt;Author&gt;Chen&lt;/Author&gt;&lt;Year&gt;2016&lt;/Year&gt;&lt;RecNum&gt;106&lt;/RecNum&gt;&lt;DisplayText&gt;[5]&lt;/DisplayText&gt;&lt;record&gt;&lt;rec-number&gt;106&lt;/rec-number&gt;&lt;foreign-keys&gt;&lt;key app="EN" db-id="0pptffxfxpvxdmezsab5wpd290fxz5dxt02a" timestamp="1635613446"&gt;106&lt;/key&gt;&lt;/foreign-keys&gt;&lt;ref-type name="Journal Article"&gt;17&lt;/ref-type&gt;&lt;contributors&gt;&lt;authors&gt;&lt;author&gt;Chen, Yi-Cun&lt;/author&gt;&lt;author&gt;Wang, Hong-Mei&lt;/author&gt;&lt;author&gt;Niu, Qing-Xia&lt;/author&gt;&lt;author&gt;Ye, Dan-Yan&lt;/author&gt;&lt;author&gt;Liang, Guo-Wu&lt;/author&gt;&lt;/authors&gt;&lt;/contributors&gt;&lt;titles&gt;&lt;title&gt;Binding between saikosaponin C and human serum albumin by fluorescence spectroscopy and molecular docking&lt;/title&gt;&lt;secondary-title&gt;Molecules&lt;/secondary-title&gt;&lt;/titles&gt;&lt;periodical&gt;&lt;full-title&gt;Molecules&lt;/full-title&gt;&lt;/periodical&gt;&lt;pages&gt;153&lt;/pages&gt;&lt;volume&gt;21&lt;/volume&gt;&lt;number&gt;2&lt;/number&gt;&lt;dates&gt;&lt;year&gt;2016&lt;/year&gt;&lt;/dates&gt;&lt;urls&gt;&lt;/urls&gt;&lt;/record&gt;&lt;/Cite&gt;&lt;/EndNote&gt;</w:instrText>
      </w:r>
      <w:r w:rsidR="00245E8F">
        <w:fldChar w:fldCharType="separate"/>
      </w:r>
      <w:r w:rsidR="008F5F5F">
        <w:rPr>
          <w:noProof/>
        </w:rPr>
        <w:t>[5]</w:t>
      </w:r>
      <w:r w:rsidR="00245E8F">
        <w:fldChar w:fldCharType="end"/>
      </w:r>
      <w:r>
        <w:t>.</w:t>
      </w:r>
      <w:r w:rsidR="00EC5220">
        <w:t xml:space="preserve"> To investigate the binding of HSA and </w:t>
      </w:r>
      <w:proofErr w:type="spellStart"/>
      <w:r>
        <w:t>L</w:t>
      </w:r>
      <w:r w:rsidR="00EC5220">
        <w:t>apatinib</w:t>
      </w:r>
      <w:proofErr w:type="spellEnd"/>
      <w:r w:rsidR="00EC5220">
        <w:t xml:space="preserve">, the fluorescence of </w:t>
      </w:r>
      <w:r>
        <w:t>HAS-</w:t>
      </w:r>
      <w:proofErr w:type="spellStart"/>
      <w:r>
        <w:t>Lapatinib</w:t>
      </w:r>
      <w:proofErr w:type="spellEnd"/>
      <w:r w:rsidR="00EC5220">
        <w:t xml:space="preserve"> at excitation 295 and emission 310-380 nm should be </w:t>
      </w:r>
      <w:r>
        <w:t>done</w:t>
      </w:r>
      <w:r w:rsidR="00EC5220">
        <w:t xml:space="preserve">. Comparing the emission of </w:t>
      </w:r>
      <w:r w:rsidRPr="000D731C">
        <w:t>HSA</w:t>
      </w:r>
      <w:r w:rsidR="00EC5220">
        <w:t xml:space="preserve"> solution alone and after binding, we found a decrease in emission, which indicates quenching in fluorescence samples and the connection of the two</w:t>
      </w:r>
      <w:r>
        <w:t xml:space="preserve"> </w:t>
      </w:r>
      <w:r w:rsidR="00245E8F">
        <w:fldChar w:fldCharType="begin"/>
      </w:r>
      <w:r w:rsidR="008F5F5F">
        <w:instrText xml:space="preserve"> ADDIN EN.CITE &lt;EndNote&gt;&lt;Cite&gt;&lt;Author&gt;Kabir&lt;/Author&gt;&lt;Year&gt;2016&lt;/Year&gt;&lt;RecNum&gt;120&lt;/RecNum&gt;&lt;DisplayText&gt;[3]&lt;/DisplayText&gt;&lt;record&gt;&lt;rec-number&gt;120&lt;/rec-number&gt;&lt;foreign-keys&gt;&lt;key app="EN" db-id="0pptffxfxpvxdmezsab5wpd290fxz5dxt02a" timestamp="1636745599"&gt;120&lt;/key&gt;&lt;/foreign-keys&gt;&lt;ref-type name="Journal Article"&gt;17&lt;/ref-type&gt;&lt;contributors&gt;&lt;authors&gt;&lt;author&gt;Kabir, Md Zahirul&lt;/author&gt;&lt;author&gt;Mukarram, Abdul Kadir&lt;/author&gt;&lt;author&gt;Mohamad, Saharuddin B&lt;/author&gt;&lt;author&gt;Alias, Zazali&lt;/author&gt;&lt;author&gt;Tayyab, Saad&lt;/author&gt;&lt;/authors&gt;&lt;/contributors&gt;&lt;titles&gt;&lt;title&gt;Characterization of the binding of an anticancer drug, lapatinib to human serum albumin&lt;/title&gt;&lt;secondary-title&gt;Journal of Photochemistry and Photobiology B: Biology&lt;/secondary-title&gt;&lt;/titles&gt;&lt;periodical&gt;&lt;full-title&gt;Journal of Photochemistry and Photobiology B: Biology&lt;/full-title&gt;&lt;/periodical&gt;&lt;pages&gt;229-239&lt;/pages&gt;&lt;volume&gt;160&lt;/volume&gt;&lt;dates&gt;&lt;year&gt;2016&lt;/year&gt;&lt;/dates&gt;&lt;isbn&gt;1011-1344&lt;/isbn&gt;&lt;urls&gt;&lt;/urls&gt;&lt;/record&gt;&lt;/Cite&gt;&lt;/EndNote&gt;</w:instrText>
      </w:r>
      <w:r w:rsidR="00245E8F">
        <w:fldChar w:fldCharType="separate"/>
      </w:r>
      <w:r w:rsidR="008F5F5F">
        <w:rPr>
          <w:noProof/>
        </w:rPr>
        <w:t>[3]</w:t>
      </w:r>
      <w:r w:rsidR="00245E8F">
        <w:fldChar w:fldCharType="end"/>
      </w:r>
      <w:r>
        <w:t>.</w:t>
      </w:r>
    </w:p>
    <w:p w14:paraId="0EFEAEFA" w14:textId="0E2A6EF7" w:rsidR="004A036B" w:rsidRPr="004D72B5" w:rsidRDefault="004A036B" w:rsidP="00291D74">
      <w:pPr>
        <w:pStyle w:val="Keywords"/>
      </w:pPr>
      <w:r w:rsidRPr="004D72B5">
        <w:t>Keywords—</w:t>
      </w:r>
      <w:r w:rsidR="00291D74" w:rsidRPr="00291D74">
        <w:rPr>
          <w:iCs/>
        </w:rPr>
        <w:t xml:space="preserve"> </w:t>
      </w:r>
      <w:r w:rsidR="00291D74" w:rsidRPr="009C5A72">
        <w:rPr>
          <w:iCs/>
        </w:rPr>
        <w:t>human serum</w:t>
      </w:r>
      <w:r w:rsidR="00291D74" w:rsidRPr="009C5A72">
        <w:rPr>
          <w:iCs/>
          <w:rtl/>
        </w:rPr>
        <w:t xml:space="preserve"> </w:t>
      </w:r>
      <w:r w:rsidR="000D731C" w:rsidRPr="00291D74">
        <w:rPr>
          <w:iCs/>
        </w:rPr>
        <w:t xml:space="preserve">albumin, </w:t>
      </w:r>
      <w:proofErr w:type="spellStart"/>
      <w:r w:rsidR="000D731C" w:rsidRPr="00291D74">
        <w:rPr>
          <w:iCs/>
        </w:rPr>
        <w:t>lapatinib</w:t>
      </w:r>
      <w:proofErr w:type="spellEnd"/>
      <w:r w:rsidR="00291D74" w:rsidRPr="009C5A72">
        <w:rPr>
          <w:iCs/>
        </w:rPr>
        <w:t xml:space="preserve">, breast </w:t>
      </w:r>
      <w:r w:rsidR="000D731C" w:rsidRPr="009C5A72">
        <w:rPr>
          <w:iCs/>
        </w:rPr>
        <w:t>cancer,</w:t>
      </w:r>
      <w:r w:rsidR="00291D74" w:rsidRPr="009C5A72">
        <w:rPr>
          <w:iCs/>
        </w:rPr>
        <w:t xml:space="preserve"> HER2 receptor-</w:t>
      </w:r>
      <w:r w:rsidR="000D731C" w:rsidRPr="009C5A72">
        <w:rPr>
          <w:iCs/>
        </w:rPr>
        <w:t>positive</w:t>
      </w:r>
      <w:r w:rsidR="000D731C">
        <w:rPr>
          <w:rFonts w:asciiTheme="majorBidi" w:hAnsiTheme="majorBidi" w:cstheme="majorBidi"/>
        </w:rPr>
        <w:t>,</w:t>
      </w:r>
      <w:r w:rsidR="00291D74">
        <w:rPr>
          <w:rFonts w:asciiTheme="majorBidi" w:hAnsiTheme="majorBidi" w:cstheme="majorBidi"/>
        </w:rPr>
        <w:t xml:space="preserve"> </w:t>
      </w:r>
      <w:r w:rsidR="00291D74" w:rsidRPr="009C5A72">
        <w:rPr>
          <w:rFonts w:asciiTheme="majorBidi" w:hAnsiTheme="majorBidi" w:cstheme="majorBidi"/>
          <w:iCs/>
        </w:rPr>
        <w:t>drug delivery</w:t>
      </w:r>
    </w:p>
    <w:p w14:paraId="5B8B5AAD" w14:textId="77777777" w:rsidR="004A036B" w:rsidRDefault="004A036B" w:rsidP="004A036B">
      <w:pPr>
        <w:sectPr w:rsidR="004A036B" w:rsidSect="003A644E">
          <w:type w:val="continuous"/>
          <w:pgSz w:w="11906" w:h="16838" w:code="9"/>
          <w:pgMar w:top="450" w:right="893" w:bottom="1440" w:left="893" w:header="720" w:footer="720" w:gutter="0"/>
          <w:cols w:space="720"/>
          <w:docGrid w:linePitch="360"/>
        </w:sectPr>
      </w:pPr>
    </w:p>
    <w:p w14:paraId="0C227EFC" w14:textId="77777777" w:rsidR="004A036B" w:rsidRPr="005B520E" w:rsidRDefault="004A036B" w:rsidP="004A036B">
      <w:pPr>
        <w:sectPr w:rsidR="004A036B" w:rsidRPr="005B520E" w:rsidSect="003B4E04">
          <w:type w:val="continuous"/>
          <w:pgSz w:w="11906" w:h="16838" w:code="9"/>
          <w:pgMar w:top="450" w:right="893" w:bottom="1440" w:left="893" w:header="720" w:footer="720" w:gutter="0"/>
          <w:cols w:num="3" w:space="720"/>
          <w:docGrid w:linePitch="360"/>
        </w:sectPr>
      </w:pPr>
      <w:r>
        <w:lastRenderedPageBreak/>
        <w:br w:type="column"/>
      </w:r>
    </w:p>
    <w:p w14:paraId="226E3EC0" w14:textId="77777777" w:rsidR="004A036B" w:rsidRDefault="004A036B" w:rsidP="004A036B">
      <w:pPr>
        <w:pStyle w:val="BodyText"/>
      </w:pPr>
    </w:p>
    <w:p w14:paraId="7A69FDE0" w14:textId="77777777" w:rsidR="004A036B" w:rsidRDefault="004A036B" w:rsidP="008E3264">
      <w:pPr>
        <w:pStyle w:val="Heading5"/>
        <w:jc w:val="left"/>
      </w:pPr>
      <w:r w:rsidRPr="005B520E">
        <w:t>References</w:t>
      </w:r>
    </w:p>
    <w:p w14:paraId="6EFD44F8" w14:textId="77777777" w:rsidR="000D731C" w:rsidRDefault="002875E1" w:rsidP="000D731C">
      <w:pPr>
        <w:ind w:left="720" w:hanging="720"/>
        <w:jc w:val="left"/>
        <w:rPr>
          <w:noProof/>
        </w:rPr>
      </w:pPr>
      <w:r>
        <w:rPr>
          <w:noProof/>
        </w:rPr>
        <w:fldChar w:fldCharType="begin"/>
      </w:r>
      <w:r>
        <w:instrText xml:space="preserve"> ADDIN EN.REFLIST </w:instrText>
      </w:r>
      <w:r>
        <w:rPr>
          <w:noProof/>
        </w:rPr>
        <w:fldChar w:fldCharType="separate"/>
      </w:r>
      <w:r w:rsidR="000D731C">
        <w:rPr>
          <w:noProof/>
        </w:rPr>
        <w:t>1.</w:t>
      </w:r>
      <w:r w:rsidR="000D731C">
        <w:rPr>
          <w:noProof/>
        </w:rPr>
        <w:tab/>
        <w:t xml:space="preserve">Riemsma, R., et al., </w:t>
      </w:r>
      <w:r w:rsidR="000D731C" w:rsidRPr="000D731C">
        <w:rPr>
          <w:i/>
          <w:noProof/>
        </w:rPr>
        <w:t>Systematic review of lapatinib in combination with letrozole compared with other first-line treatments for hormone receptor positive (HR+) and HER2+ advanced or metastatic breast cancer (MBC).</w:t>
      </w:r>
      <w:r w:rsidR="000D731C">
        <w:rPr>
          <w:noProof/>
        </w:rPr>
        <w:t xml:space="preserve"> Current medical research and opinion, 2012. </w:t>
      </w:r>
      <w:r w:rsidR="000D731C" w:rsidRPr="000D731C">
        <w:rPr>
          <w:b/>
          <w:noProof/>
        </w:rPr>
        <w:t>28</w:t>
      </w:r>
      <w:r w:rsidR="000D731C">
        <w:rPr>
          <w:noProof/>
        </w:rPr>
        <w:t>(8): p. 1263-1279.</w:t>
      </w:r>
    </w:p>
    <w:p w14:paraId="48403684" w14:textId="77777777" w:rsidR="000D731C" w:rsidRDefault="000D731C" w:rsidP="000D731C">
      <w:pPr>
        <w:ind w:left="720" w:hanging="720"/>
        <w:jc w:val="left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Zorzi, A., S. Linciano, and A. Angelini, </w:t>
      </w:r>
      <w:r w:rsidRPr="000D731C">
        <w:rPr>
          <w:i/>
          <w:noProof/>
        </w:rPr>
        <w:t>Non-covalent albumin-binding ligands for extending the circulating half-life of small biotherapeutics.</w:t>
      </w:r>
      <w:r>
        <w:rPr>
          <w:noProof/>
        </w:rPr>
        <w:t xml:space="preserve"> MedChemComm, 2019. </w:t>
      </w:r>
      <w:r w:rsidRPr="000D731C">
        <w:rPr>
          <w:b/>
          <w:noProof/>
        </w:rPr>
        <w:t>10</w:t>
      </w:r>
      <w:r>
        <w:rPr>
          <w:noProof/>
        </w:rPr>
        <w:t>(7): p. 1068-1081.</w:t>
      </w:r>
    </w:p>
    <w:p w14:paraId="1C910376" w14:textId="77777777" w:rsidR="000D731C" w:rsidRDefault="000D731C" w:rsidP="000D731C">
      <w:pPr>
        <w:ind w:left="720" w:hanging="720"/>
        <w:jc w:val="left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Kabir, M.Z., et al., </w:t>
      </w:r>
      <w:r w:rsidRPr="000D731C">
        <w:rPr>
          <w:i/>
          <w:noProof/>
        </w:rPr>
        <w:t>Characterization of the binding of an anticancer drug, lapatinib to human serum albumin.</w:t>
      </w:r>
      <w:r>
        <w:rPr>
          <w:noProof/>
        </w:rPr>
        <w:t xml:space="preserve"> Journal of Photochemistry and Photobiology B: Biology, 2016. </w:t>
      </w:r>
      <w:r w:rsidRPr="000D731C">
        <w:rPr>
          <w:b/>
          <w:noProof/>
        </w:rPr>
        <w:t>160</w:t>
      </w:r>
      <w:r>
        <w:rPr>
          <w:noProof/>
        </w:rPr>
        <w:t>: p. 229-239.</w:t>
      </w:r>
    </w:p>
    <w:p w14:paraId="6CFBC3F1" w14:textId="77777777" w:rsidR="000D731C" w:rsidRDefault="000D731C" w:rsidP="000D731C">
      <w:pPr>
        <w:ind w:left="720" w:hanging="720"/>
        <w:jc w:val="left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Iyer, S., P.I. Darley, and K.R. Acharya, </w:t>
      </w:r>
      <w:r w:rsidRPr="000D731C">
        <w:rPr>
          <w:i/>
          <w:noProof/>
        </w:rPr>
        <w:t>Structural insights into the binding of vascular endothelial growth factor-B by VEGFR-1D2: Recognition and specificity.</w:t>
      </w:r>
      <w:r>
        <w:rPr>
          <w:noProof/>
        </w:rPr>
        <w:t xml:space="preserve"> Journal of Biological Chemistry, 2010. </w:t>
      </w:r>
      <w:r w:rsidRPr="000D731C">
        <w:rPr>
          <w:b/>
          <w:noProof/>
        </w:rPr>
        <w:t>285</w:t>
      </w:r>
      <w:r>
        <w:rPr>
          <w:noProof/>
        </w:rPr>
        <w:t>(31): p. 23779-23789.</w:t>
      </w:r>
    </w:p>
    <w:p w14:paraId="18144180" w14:textId="77777777" w:rsidR="000D731C" w:rsidRDefault="000D731C" w:rsidP="000D731C">
      <w:pPr>
        <w:ind w:left="720" w:hanging="720"/>
        <w:jc w:val="left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Chen, Y.-C., et al., </w:t>
      </w:r>
      <w:r w:rsidRPr="000D731C">
        <w:rPr>
          <w:i/>
          <w:noProof/>
        </w:rPr>
        <w:t>Binding between saikosaponin C and human serum albumin by fluorescence spectroscopy and molecular docking.</w:t>
      </w:r>
      <w:r>
        <w:rPr>
          <w:noProof/>
        </w:rPr>
        <w:t xml:space="preserve"> Molecules, 2016. </w:t>
      </w:r>
      <w:r w:rsidRPr="000D731C">
        <w:rPr>
          <w:b/>
          <w:noProof/>
        </w:rPr>
        <w:t>21</w:t>
      </w:r>
      <w:r>
        <w:rPr>
          <w:noProof/>
        </w:rPr>
        <w:t>(2): p. 153.</w:t>
      </w:r>
    </w:p>
    <w:p w14:paraId="0F80D9B0" w14:textId="01091446" w:rsidR="009303D9" w:rsidRDefault="002875E1" w:rsidP="008E3264">
      <w:pPr>
        <w:jc w:val="left"/>
      </w:pPr>
      <w:r>
        <w:fldChar w:fldCharType="end"/>
      </w:r>
    </w:p>
    <w:sectPr w:rsidR="009303D9" w:rsidSect="005156EC">
      <w:type w:val="continuous"/>
      <w:pgSz w:w="11906" w:h="16838" w:code="9"/>
      <w:pgMar w:top="2268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2D95F" w14:textId="77777777" w:rsidR="00FE2992" w:rsidRDefault="00FE2992" w:rsidP="001A3B3D">
      <w:r>
        <w:separator/>
      </w:r>
    </w:p>
  </w:endnote>
  <w:endnote w:type="continuationSeparator" w:id="0">
    <w:p w14:paraId="62FD4081" w14:textId="77777777" w:rsidR="00FE2992" w:rsidRDefault="00FE2992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762CA" w14:textId="77777777" w:rsidR="001A3B3D" w:rsidRPr="006F6D3D" w:rsidRDefault="005156EC" w:rsidP="0056610F">
    <w:pPr>
      <w:pStyle w:val="Footer"/>
      <w:jc w:val="lef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5168" behindDoc="1" locked="0" layoutInCell="1" allowOverlap="1" wp14:anchorId="59A5A8EF" wp14:editId="434EC70B">
          <wp:simplePos x="0" y="0"/>
          <wp:positionH relativeFrom="column">
            <wp:posOffset>-682625</wp:posOffset>
          </wp:positionH>
          <wp:positionV relativeFrom="paragraph">
            <wp:posOffset>149860</wp:posOffset>
          </wp:positionV>
          <wp:extent cx="7663815" cy="495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81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B3D" w:rsidRPr="006F6D3D">
      <w:rPr>
        <w:sz w:val="16"/>
        <w:szCs w:val="16"/>
      </w:rPr>
      <w:t>XXX-X-XXXX-XXXX-X/XX/$XX.00 ©20XX IEEE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7D69F" w14:textId="77777777" w:rsidR="004A036B" w:rsidRPr="006F6D3D" w:rsidRDefault="004A036B" w:rsidP="0056610F">
    <w:pPr>
      <w:pStyle w:val="Footer"/>
      <w:jc w:val="left"/>
      <w:rPr>
        <w:sz w:val="16"/>
        <w:szCs w:val="16"/>
      </w:rPr>
    </w:pPr>
    <w:r w:rsidRPr="006F6D3D">
      <w:rPr>
        <w:sz w:val="16"/>
        <w:szCs w:val="16"/>
      </w:rPr>
      <w:t xml:space="preserve">XXX-X-XXXX-XXXX-X/XX/$XX.00 ©20XX </w:t>
    </w:r>
    <w:r>
      <w:rPr>
        <w:sz w:val="16"/>
        <w:szCs w:val="16"/>
      </w:rPr>
      <w:t>ISC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235E4" w14:textId="77777777" w:rsidR="00FE2992" w:rsidRDefault="00FE2992" w:rsidP="001A3B3D">
      <w:r>
        <w:separator/>
      </w:r>
    </w:p>
  </w:footnote>
  <w:footnote w:type="continuationSeparator" w:id="0">
    <w:p w14:paraId="2F061A43" w14:textId="77777777" w:rsidR="00FE2992" w:rsidRDefault="00FE2992" w:rsidP="001A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1267F" w14:textId="749C4232" w:rsidR="008A7F7E" w:rsidRDefault="008A7F7E" w:rsidP="008A7F7E">
    <w:pPr>
      <w:pStyle w:val="Header"/>
      <w:rPr>
        <w:rFonts w:asciiTheme="majorBidi" w:hAnsiTheme="majorBidi" w:cstheme="majorBidi"/>
        <w:b/>
        <w:bCs/>
        <w:color w:val="333333"/>
        <w:sz w:val="28"/>
        <w:szCs w:val="28"/>
      </w:rPr>
    </w:pPr>
    <w:r>
      <w:rPr>
        <w:rFonts w:asciiTheme="majorBidi" w:hAnsiTheme="majorBidi" w:cstheme="majorBidi"/>
        <w:b/>
        <w:bCs/>
        <w:color w:val="333333"/>
        <w:sz w:val="28"/>
        <w:szCs w:val="28"/>
      </w:rPr>
      <w:t xml:space="preserve">The 1st International and 3rd National Conference on Biomathematics </w:t>
    </w:r>
  </w:p>
  <w:p w14:paraId="2B6AB96E" w14:textId="38588628" w:rsidR="008A7F7E" w:rsidRDefault="008A7F7E" w:rsidP="008A7F7E">
    <w:pPr>
      <w:pStyle w:val="Header"/>
    </w:pPr>
    <w:r>
      <w:rPr>
        <w:rFonts w:asciiTheme="majorBidi" w:hAnsiTheme="majorBidi" w:cstheme="majorBidi"/>
        <w:color w:val="333333"/>
        <w:sz w:val="24"/>
        <w:szCs w:val="24"/>
      </w:rPr>
      <w:t xml:space="preserve">19-21 January 2022, </w:t>
    </w:r>
    <w:proofErr w:type="spellStart"/>
    <w:r>
      <w:rPr>
        <w:rFonts w:asciiTheme="majorBidi" w:hAnsiTheme="majorBidi" w:cstheme="majorBidi"/>
        <w:color w:val="333333"/>
        <w:sz w:val="24"/>
        <w:szCs w:val="24"/>
      </w:rPr>
      <w:t>Damghan</w:t>
    </w:r>
    <w:proofErr w:type="spellEnd"/>
    <w:r>
      <w:rPr>
        <w:rFonts w:asciiTheme="majorBidi" w:hAnsiTheme="majorBidi" w:cstheme="majorBidi"/>
        <w:color w:val="333333"/>
        <w:sz w:val="24"/>
        <w:szCs w:val="24"/>
      </w:rPr>
      <w:t xml:space="preserve"> University, Iran</w:t>
    </w:r>
  </w:p>
  <w:p w14:paraId="22DF723D" w14:textId="30C999C0" w:rsidR="004C667C" w:rsidRPr="005156EC" w:rsidRDefault="00FE2992" w:rsidP="00F019BB">
    <w:pPr>
      <w:pStyle w:val="Header"/>
      <w:jc w:val="both"/>
      <w:rPr>
        <w:rtl/>
      </w:rPr>
    </w:pPr>
    <w:r>
      <w:rPr>
        <w:noProof/>
        <w:rtl/>
      </w:rPr>
      <w:pict w14:anchorId="25A9D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-46.55pt;margin-top:-114.05pt;width:599.2pt;height:851.25pt;z-index:-251655168;mso-position-horizontal-relative:margin;mso-position-vertical-relative:margin" o:allowincell="f">
          <v:imagedata r:id="rId1" o:title="en art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EDA8" w14:textId="57D166BB" w:rsidR="006C0C76" w:rsidRPr="00696FD9" w:rsidRDefault="00FE2992" w:rsidP="006C0C76">
    <w:pPr>
      <w:pStyle w:val="Header"/>
      <w:ind w:left="-770" w:firstLine="270"/>
      <w:rPr>
        <w:rFonts w:asciiTheme="majorBidi" w:hAnsiTheme="majorBidi" w:cstheme="majorBidi"/>
        <w:b/>
        <w:bCs/>
        <w:color w:val="333333"/>
        <w:sz w:val="28"/>
        <w:szCs w:val="28"/>
      </w:rPr>
    </w:pPr>
    <w:r>
      <w:rPr>
        <w:rFonts w:asciiTheme="majorBidi" w:hAnsiTheme="majorBidi" w:cstheme="majorBidi"/>
        <w:noProof/>
        <w:sz w:val="22"/>
        <w:szCs w:val="22"/>
      </w:rPr>
      <w:pict w14:anchorId="25A9D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0455" o:spid="_x0000_s3073" type="#_x0000_t75" style="position:absolute;left:0;text-align:left;margin-left:-45pt;margin-top:-113.3pt;width:595.2pt;height:845.6pt;z-index:-251656192;mso-position-horizontal-relative:margin;mso-position-vertical-relative:margin" o:allowincell="f">
          <v:imagedata r:id="rId1" o:title="en art_"/>
          <w10:wrap anchorx="margin" anchory="margin"/>
        </v:shape>
      </w:pict>
    </w:r>
    <w:r w:rsidR="006C0C76" w:rsidRPr="00696FD9">
      <w:rPr>
        <w:rFonts w:asciiTheme="majorBidi" w:hAnsiTheme="majorBidi" w:cstheme="majorBidi"/>
        <w:b/>
        <w:bCs/>
        <w:color w:val="333333"/>
        <w:sz w:val="28"/>
        <w:szCs w:val="28"/>
      </w:rPr>
      <w:t>The 1st International and 3rd National Conference on Biomathematics</w:t>
    </w:r>
  </w:p>
  <w:p w14:paraId="71447BAC" w14:textId="0F7908E7" w:rsidR="006423C3" w:rsidRPr="00696FD9" w:rsidRDefault="006C0C76" w:rsidP="006C0C76">
    <w:pPr>
      <w:pStyle w:val="Header"/>
      <w:tabs>
        <w:tab w:val="left" w:pos="4788"/>
        <w:tab w:val="center" w:pos="5060"/>
      </w:tabs>
      <w:rPr>
        <w:rFonts w:asciiTheme="majorBidi" w:hAnsiTheme="majorBidi" w:cstheme="majorBidi"/>
      </w:rPr>
    </w:pPr>
    <w:r w:rsidRPr="00696FD9">
      <w:rPr>
        <w:rFonts w:asciiTheme="majorBidi" w:hAnsiTheme="majorBidi" w:cstheme="majorBidi"/>
        <w:color w:val="333333"/>
        <w:sz w:val="24"/>
        <w:szCs w:val="24"/>
      </w:rPr>
      <w:t xml:space="preserve">19-21 January 2022, Damghan </w:t>
    </w:r>
    <w:r w:rsidR="00B55AAF">
      <w:rPr>
        <w:rFonts w:asciiTheme="majorBidi" w:hAnsiTheme="majorBidi" w:cstheme="majorBidi"/>
        <w:color w:val="333333"/>
        <w:sz w:val="24"/>
        <w:szCs w:val="24"/>
      </w:rPr>
      <w:t>U</w:t>
    </w:r>
    <w:r w:rsidRPr="00696FD9">
      <w:rPr>
        <w:rFonts w:asciiTheme="majorBidi" w:hAnsiTheme="majorBidi" w:cstheme="majorBidi"/>
        <w:color w:val="333333"/>
        <w:sz w:val="24"/>
        <w:szCs w:val="24"/>
      </w:rPr>
      <w:t>niversity</w:t>
    </w:r>
    <w:r w:rsidR="007036D4" w:rsidRPr="00696FD9">
      <w:rPr>
        <w:rFonts w:asciiTheme="majorBidi" w:hAnsiTheme="majorBidi" w:cstheme="majorBidi"/>
        <w:color w:val="333333"/>
        <w:sz w:val="24"/>
        <w:szCs w:val="24"/>
      </w:rPr>
      <w:t>, Iran.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D05CF" w14:textId="77777777" w:rsidR="004A036B" w:rsidRDefault="004A036B" w:rsidP="00A718B6">
    <w:pPr>
      <w:autoSpaceDE w:val="0"/>
      <w:autoSpaceDN w:val="0"/>
      <w:adjustRightInd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3F099F42" wp14:editId="6F2F854F">
          <wp:simplePos x="0" y="0"/>
          <wp:positionH relativeFrom="column">
            <wp:posOffset>6098540</wp:posOffset>
          </wp:positionH>
          <wp:positionV relativeFrom="paragraph">
            <wp:posOffset>-164465</wp:posOffset>
          </wp:positionV>
          <wp:extent cx="680085" cy="412115"/>
          <wp:effectExtent l="0" t="0" r="571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1" locked="0" layoutInCell="1" allowOverlap="1" wp14:anchorId="0D1A1BD7" wp14:editId="3DAACF90">
          <wp:simplePos x="0" y="0"/>
          <wp:positionH relativeFrom="margin">
            <wp:posOffset>-289560</wp:posOffset>
          </wp:positionH>
          <wp:positionV relativeFrom="paragraph">
            <wp:posOffset>-332105</wp:posOffset>
          </wp:positionV>
          <wp:extent cx="487045" cy="674370"/>
          <wp:effectExtent l="0" t="0" r="8255" b="0"/>
          <wp:wrapTight wrapText="bothSides">
            <wp:wrapPolygon edited="0">
              <wp:start x="6759" y="0"/>
              <wp:lineTo x="2535" y="3051"/>
              <wp:lineTo x="0" y="6712"/>
              <wp:lineTo x="0" y="20746"/>
              <wp:lineTo x="21121" y="20746"/>
              <wp:lineTo x="21121" y="4881"/>
              <wp:lineTo x="15207" y="0"/>
              <wp:lineTo x="675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 logo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4A716" w14:textId="77777777" w:rsidR="004A036B" w:rsidRPr="00415F75" w:rsidRDefault="004A036B" w:rsidP="00A37392">
    <w:pPr>
      <w:autoSpaceDE w:val="0"/>
      <w:autoSpaceDN w:val="0"/>
      <w:adjustRightInd w:val="0"/>
      <w:rPr>
        <w:rFonts w:asciiTheme="majorBidi" w:hAnsiTheme="majorBidi" w:cstheme="majorBidi"/>
        <w:sz w:val="18"/>
        <w:szCs w:val="18"/>
      </w:rPr>
    </w:pPr>
    <w:r w:rsidRPr="00415F75">
      <w:rPr>
        <w:rFonts w:asciiTheme="majorBidi" w:hAnsiTheme="majorBidi" w:cstheme="majorBidi"/>
        <w:sz w:val="18"/>
        <w:szCs w:val="18"/>
      </w:rPr>
      <w:t>The 1</w:t>
    </w:r>
    <w:r w:rsidRPr="00415F75">
      <w:rPr>
        <w:rFonts w:asciiTheme="majorBidi" w:hAnsiTheme="majorBidi" w:cstheme="majorBidi"/>
        <w:sz w:val="18"/>
        <w:szCs w:val="18"/>
        <w:vertAlign w:val="superscript"/>
      </w:rPr>
      <w:t>st</w:t>
    </w:r>
    <w:r w:rsidRPr="00415F75">
      <w:rPr>
        <w:rFonts w:asciiTheme="majorBidi" w:hAnsiTheme="majorBidi" w:cstheme="majorBidi"/>
        <w:sz w:val="18"/>
        <w:szCs w:val="18"/>
      </w:rPr>
      <w:t xml:space="preserve"> International and 3</w:t>
    </w:r>
    <w:r w:rsidRPr="00415F75">
      <w:rPr>
        <w:rFonts w:asciiTheme="majorBidi" w:hAnsiTheme="majorBidi" w:cstheme="majorBidi"/>
        <w:sz w:val="18"/>
        <w:szCs w:val="18"/>
        <w:vertAlign w:val="superscript"/>
      </w:rPr>
      <w:t>rd</w:t>
    </w:r>
    <w:r w:rsidRPr="00415F75">
      <w:rPr>
        <w:rFonts w:asciiTheme="majorBidi" w:hAnsiTheme="majorBidi" w:cstheme="majorBidi"/>
        <w:sz w:val="18"/>
        <w:szCs w:val="18"/>
      </w:rPr>
      <w:t xml:space="preserve"> National Conference on Biomathematics</w:t>
    </w:r>
    <w:r>
      <w:rPr>
        <w:rFonts w:asciiTheme="majorBidi" w:hAnsiTheme="majorBidi" w:cstheme="majorBidi"/>
        <w:sz w:val="18"/>
        <w:szCs w:val="18"/>
      </w:rPr>
      <w:t xml:space="preserve"> - 19-21 January 2022 </w:t>
    </w:r>
    <w:r w:rsidRPr="00415F75">
      <w:rPr>
        <w:rFonts w:asciiTheme="majorBidi" w:hAnsiTheme="majorBidi" w:cstheme="majorBidi"/>
        <w:sz w:val="18"/>
        <w:szCs w:val="18"/>
      </w:rPr>
      <w:t xml:space="preserve">- </w:t>
    </w:r>
    <w:proofErr w:type="spellStart"/>
    <w:r w:rsidRPr="00415F75">
      <w:rPr>
        <w:rFonts w:asciiTheme="majorBidi" w:hAnsiTheme="majorBidi" w:cstheme="majorBidi"/>
        <w:sz w:val="18"/>
        <w:szCs w:val="18"/>
      </w:rPr>
      <w:t>Damghan</w:t>
    </w:r>
    <w:proofErr w:type="spellEnd"/>
    <w:r w:rsidRPr="00415F75">
      <w:rPr>
        <w:rFonts w:asciiTheme="majorBidi" w:hAnsiTheme="majorBidi" w:cstheme="majorBidi"/>
        <w:sz w:val="18"/>
        <w:szCs w:val="18"/>
      </w:rPr>
      <w:t xml:space="preserve"> University, Iran</w:t>
    </w:r>
    <w:r>
      <w:rPr>
        <w:rFonts w:asciiTheme="majorBidi" w:hAnsiTheme="majorBidi" w:cstheme="majorBidi"/>
        <w:sz w:val="18"/>
        <w:szCs w:val="18"/>
      </w:rPr>
      <w:t>.</w:t>
    </w:r>
  </w:p>
  <w:p w14:paraId="16DAC0B9" w14:textId="77777777" w:rsidR="004A036B" w:rsidRPr="00271D8B" w:rsidRDefault="004A036B" w:rsidP="00271D8B">
    <w:pPr>
      <w:autoSpaceDE w:val="0"/>
      <w:autoSpaceDN w:val="0"/>
      <w:adjustRightInd w:val="0"/>
      <w:jc w:val="left"/>
      <w:rPr>
        <w:rFonts w:ascii="Arial-BoldMT" w:hAnsi="Arial-BoldMT" w:cs="Arial-BoldM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243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303D9"/>
    <w:rsid w:val="00010978"/>
    <w:rsid w:val="00025164"/>
    <w:rsid w:val="0004781E"/>
    <w:rsid w:val="00077572"/>
    <w:rsid w:val="0008758A"/>
    <w:rsid w:val="000C00B2"/>
    <w:rsid w:val="000C0550"/>
    <w:rsid w:val="000C1E68"/>
    <w:rsid w:val="000C3B26"/>
    <w:rsid w:val="000D731C"/>
    <w:rsid w:val="000E45A3"/>
    <w:rsid w:val="00112B74"/>
    <w:rsid w:val="001377F2"/>
    <w:rsid w:val="001679E1"/>
    <w:rsid w:val="001853FA"/>
    <w:rsid w:val="0019123E"/>
    <w:rsid w:val="00191B27"/>
    <w:rsid w:val="001A22CB"/>
    <w:rsid w:val="001A2EFD"/>
    <w:rsid w:val="001A3B3D"/>
    <w:rsid w:val="001B59B2"/>
    <w:rsid w:val="001B67DC"/>
    <w:rsid w:val="001D58D0"/>
    <w:rsid w:val="001E4C0E"/>
    <w:rsid w:val="00211C88"/>
    <w:rsid w:val="002254A9"/>
    <w:rsid w:val="00233D97"/>
    <w:rsid w:val="002347A2"/>
    <w:rsid w:val="00243C3D"/>
    <w:rsid w:val="00245E8F"/>
    <w:rsid w:val="00253C8B"/>
    <w:rsid w:val="00271D8B"/>
    <w:rsid w:val="002850E3"/>
    <w:rsid w:val="002875E1"/>
    <w:rsid w:val="00287FF4"/>
    <w:rsid w:val="00291D74"/>
    <w:rsid w:val="002A2BDA"/>
    <w:rsid w:val="002B2185"/>
    <w:rsid w:val="002B618E"/>
    <w:rsid w:val="002B793B"/>
    <w:rsid w:val="002C5D1B"/>
    <w:rsid w:val="0031291F"/>
    <w:rsid w:val="003324C0"/>
    <w:rsid w:val="00333036"/>
    <w:rsid w:val="00354FCF"/>
    <w:rsid w:val="00355436"/>
    <w:rsid w:val="003658B8"/>
    <w:rsid w:val="00365EB6"/>
    <w:rsid w:val="00382406"/>
    <w:rsid w:val="00383384"/>
    <w:rsid w:val="00384C81"/>
    <w:rsid w:val="00394D5C"/>
    <w:rsid w:val="003A19E2"/>
    <w:rsid w:val="003A2BB4"/>
    <w:rsid w:val="003A644E"/>
    <w:rsid w:val="003B2B40"/>
    <w:rsid w:val="003B4E04"/>
    <w:rsid w:val="003D2DF2"/>
    <w:rsid w:val="003F065A"/>
    <w:rsid w:val="003F5A08"/>
    <w:rsid w:val="00420716"/>
    <w:rsid w:val="004325FB"/>
    <w:rsid w:val="00434D19"/>
    <w:rsid w:val="004432BA"/>
    <w:rsid w:val="0044407E"/>
    <w:rsid w:val="00447BB9"/>
    <w:rsid w:val="0046031D"/>
    <w:rsid w:val="00462013"/>
    <w:rsid w:val="004728FA"/>
    <w:rsid w:val="00473AC9"/>
    <w:rsid w:val="00473BDE"/>
    <w:rsid w:val="004A036B"/>
    <w:rsid w:val="004B4363"/>
    <w:rsid w:val="004C667C"/>
    <w:rsid w:val="004C694C"/>
    <w:rsid w:val="004D3B09"/>
    <w:rsid w:val="004D72B5"/>
    <w:rsid w:val="004D7891"/>
    <w:rsid w:val="005156EC"/>
    <w:rsid w:val="00533F1D"/>
    <w:rsid w:val="00551B7F"/>
    <w:rsid w:val="00562210"/>
    <w:rsid w:val="0056610F"/>
    <w:rsid w:val="00570ECD"/>
    <w:rsid w:val="00575BCA"/>
    <w:rsid w:val="00590425"/>
    <w:rsid w:val="005B0344"/>
    <w:rsid w:val="005B520E"/>
    <w:rsid w:val="005C1C8B"/>
    <w:rsid w:val="005D097B"/>
    <w:rsid w:val="005E2800"/>
    <w:rsid w:val="00605825"/>
    <w:rsid w:val="00620111"/>
    <w:rsid w:val="00622E49"/>
    <w:rsid w:val="006321EC"/>
    <w:rsid w:val="006423C3"/>
    <w:rsid w:val="00645D22"/>
    <w:rsid w:val="0064688F"/>
    <w:rsid w:val="00651A08"/>
    <w:rsid w:val="006521C1"/>
    <w:rsid w:val="00653862"/>
    <w:rsid w:val="00654204"/>
    <w:rsid w:val="00670434"/>
    <w:rsid w:val="0067543D"/>
    <w:rsid w:val="00677B17"/>
    <w:rsid w:val="00687035"/>
    <w:rsid w:val="00687D99"/>
    <w:rsid w:val="00696FD9"/>
    <w:rsid w:val="006A29BB"/>
    <w:rsid w:val="006B6B66"/>
    <w:rsid w:val="006C0C76"/>
    <w:rsid w:val="006C598B"/>
    <w:rsid w:val="006D0581"/>
    <w:rsid w:val="006F6D3D"/>
    <w:rsid w:val="007036D4"/>
    <w:rsid w:val="00715BEA"/>
    <w:rsid w:val="00740EEA"/>
    <w:rsid w:val="00750AD1"/>
    <w:rsid w:val="00752578"/>
    <w:rsid w:val="00775DFE"/>
    <w:rsid w:val="00794804"/>
    <w:rsid w:val="00797151"/>
    <w:rsid w:val="007A3526"/>
    <w:rsid w:val="007B33F1"/>
    <w:rsid w:val="007B64DB"/>
    <w:rsid w:val="007B6DDA"/>
    <w:rsid w:val="007C0308"/>
    <w:rsid w:val="007C2FF2"/>
    <w:rsid w:val="007D528B"/>
    <w:rsid w:val="007D6232"/>
    <w:rsid w:val="007D696A"/>
    <w:rsid w:val="007F1F99"/>
    <w:rsid w:val="007F4931"/>
    <w:rsid w:val="007F768F"/>
    <w:rsid w:val="008048FF"/>
    <w:rsid w:val="0080791D"/>
    <w:rsid w:val="00831691"/>
    <w:rsid w:val="00836367"/>
    <w:rsid w:val="00844500"/>
    <w:rsid w:val="0085166E"/>
    <w:rsid w:val="008609AF"/>
    <w:rsid w:val="008617E6"/>
    <w:rsid w:val="00873603"/>
    <w:rsid w:val="00890A25"/>
    <w:rsid w:val="008A2A04"/>
    <w:rsid w:val="008A2C7D"/>
    <w:rsid w:val="008A7A92"/>
    <w:rsid w:val="008A7F7E"/>
    <w:rsid w:val="008B6524"/>
    <w:rsid w:val="008C4B23"/>
    <w:rsid w:val="008E3264"/>
    <w:rsid w:val="008E3807"/>
    <w:rsid w:val="008F5F5F"/>
    <w:rsid w:val="008F6E2C"/>
    <w:rsid w:val="00917A57"/>
    <w:rsid w:val="00923138"/>
    <w:rsid w:val="009303D9"/>
    <w:rsid w:val="00933C64"/>
    <w:rsid w:val="00945D68"/>
    <w:rsid w:val="00972203"/>
    <w:rsid w:val="009D11A9"/>
    <w:rsid w:val="009E669A"/>
    <w:rsid w:val="009F1D79"/>
    <w:rsid w:val="00A03E66"/>
    <w:rsid w:val="00A0572A"/>
    <w:rsid w:val="00A059B3"/>
    <w:rsid w:val="00A06EC7"/>
    <w:rsid w:val="00A25AAD"/>
    <w:rsid w:val="00A3357D"/>
    <w:rsid w:val="00A93B5D"/>
    <w:rsid w:val="00A96A7C"/>
    <w:rsid w:val="00AC41E9"/>
    <w:rsid w:val="00AD5EF0"/>
    <w:rsid w:val="00AE24F5"/>
    <w:rsid w:val="00AE3409"/>
    <w:rsid w:val="00AE4FE3"/>
    <w:rsid w:val="00AF229B"/>
    <w:rsid w:val="00AF3CDF"/>
    <w:rsid w:val="00B034DE"/>
    <w:rsid w:val="00B062E4"/>
    <w:rsid w:val="00B11A60"/>
    <w:rsid w:val="00B22613"/>
    <w:rsid w:val="00B421A9"/>
    <w:rsid w:val="00B44A76"/>
    <w:rsid w:val="00B55AAF"/>
    <w:rsid w:val="00B63C98"/>
    <w:rsid w:val="00B659EB"/>
    <w:rsid w:val="00B768D1"/>
    <w:rsid w:val="00BA1025"/>
    <w:rsid w:val="00BA13C6"/>
    <w:rsid w:val="00BA62E9"/>
    <w:rsid w:val="00BC3420"/>
    <w:rsid w:val="00BC72B0"/>
    <w:rsid w:val="00BD670B"/>
    <w:rsid w:val="00BE7D3C"/>
    <w:rsid w:val="00BF5FF6"/>
    <w:rsid w:val="00C0207F"/>
    <w:rsid w:val="00C16117"/>
    <w:rsid w:val="00C3075A"/>
    <w:rsid w:val="00C919A4"/>
    <w:rsid w:val="00C952C5"/>
    <w:rsid w:val="00CA4392"/>
    <w:rsid w:val="00CC393F"/>
    <w:rsid w:val="00CD12A0"/>
    <w:rsid w:val="00D2176E"/>
    <w:rsid w:val="00D260F2"/>
    <w:rsid w:val="00D346B9"/>
    <w:rsid w:val="00D4747E"/>
    <w:rsid w:val="00D632BE"/>
    <w:rsid w:val="00D72D06"/>
    <w:rsid w:val="00D7522C"/>
    <w:rsid w:val="00D7536F"/>
    <w:rsid w:val="00D76668"/>
    <w:rsid w:val="00D817F1"/>
    <w:rsid w:val="00D90783"/>
    <w:rsid w:val="00DD4A9D"/>
    <w:rsid w:val="00DF5417"/>
    <w:rsid w:val="00DF73CB"/>
    <w:rsid w:val="00E03933"/>
    <w:rsid w:val="00E07383"/>
    <w:rsid w:val="00E165BC"/>
    <w:rsid w:val="00E3777B"/>
    <w:rsid w:val="00E61E12"/>
    <w:rsid w:val="00E645C7"/>
    <w:rsid w:val="00E663A5"/>
    <w:rsid w:val="00E7596C"/>
    <w:rsid w:val="00E878F2"/>
    <w:rsid w:val="00EC5220"/>
    <w:rsid w:val="00ED0149"/>
    <w:rsid w:val="00ED5577"/>
    <w:rsid w:val="00EE7801"/>
    <w:rsid w:val="00EF7DE3"/>
    <w:rsid w:val="00F019BB"/>
    <w:rsid w:val="00F03103"/>
    <w:rsid w:val="00F101E4"/>
    <w:rsid w:val="00F271DE"/>
    <w:rsid w:val="00F4513F"/>
    <w:rsid w:val="00F627DA"/>
    <w:rsid w:val="00F63308"/>
    <w:rsid w:val="00F7288F"/>
    <w:rsid w:val="00F7388F"/>
    <w:rsid w:val="00F8081C"/>
    <w:rsid w:val="00F847A6"/>
    <w:rsid w:val="00F9441B"/>
    <w:rsid w:val="00FA4C32"/>
    <w:rsid w:val="00FA4E19"/>
    <w:rsid w:val="00FB6DE2"/>
    <w:rsid w:val="00FC3F1A"/>
    <w:rsid w:val="00FC6E61"/>
    <w:rsid w:val="00FD7A7A"/>
    <w:rsid w:val="00FE2992"/>
    <w:rsid w:val="00FE5221"/>
    <w:rsid w:val="00FE554C"/>
    <w:rsid w:val="00FE7114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3F199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link w:val="AbstractChar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paragraph" w:styleId="NormalWeb">
    <w:name w:val="Normal (Web)"/>
    <w:basedOn w:val="Normal"/>
    <w:uiPriority w:val="99"/>
    <w:unhideWhenUsed/>
    <w:rsid w:val="00253C8B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sid w:val="003A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67C"/>
    <w:rPr>
      <w:color w:val="808080"/>
    </w:rPr>
  </w:style>
  <w:style w:type="paragraph" w:styleId="FootnoteText">
    <w:name w:val="footnote text"/>
    <w:basedOn w:val="Normal"/>
    <w:link w:val="FootnoteTextChar"/>
    <w:rsid w:val="00FF34AA"/>
  </w:style>
  <w:style w:type="character" w:customStyle="1" w:styleId="FootnoteTextChar">
    <w:name w:val="Footnote Text Char"/>
    <w:basedOn w:val="DefaultParagraphFont"/>
    <w:link w:val="FootnoteText"/>
    <w:rsid w:val="00FF34AA"/>
  </w:style>
  <w:style w:type="character" w:styleId="FootnoteReference">
    <w:name w:val="footnote reference"/>
    <w:basedOn w:val="DefaultParagraphFont"/>
    <w:rsid w:val="00FF34A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2875E1"/>
    <w:rPr>
      <w:noProof/>
    </w:rPr>
  </w:style>
  <w:style w:type="character" w:customStyle="1" w:styleId="AbstractChar">
    <w:name w:val="Abstract Char"/>
    <w:basedOn w:val="DefaultParagraphFont"/>
    <w:link w:val="Abstract"/>
    <w:rsid w:val="002875E1"/>
    <w:rPr>
      <w:b/>
      <w:bCs/>
      <w:sz w:val="18"/>
      <w:szCs w:val="18"/>
    </w:rPr>
  </w:style>
  <w:style w:type="character" w:customStyle="1" w:styleId="EndNoteBibliographyTitleChar">
    <w:name w:val="EndNote Bibliography Title Char"/>
    <w:basedOn w:val="AbstractChar"/>
    <w:link w:val="EndNoteBibliographyTitle"/>
    <w:rsid w:val="002875E1"/>
    <w:rPr>
      <w:b w:val="0"/>
      <w:bCs w:val="0"/>
      <w:noProof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2875E1"/>
    <w:rPr>
      <w:noProof/>
    </w:rPr>
  </w:style>
  <w:style w:type="character" w:customStyle="1" w:styleId="EndNoteBibliographyChar">
    <w:name w:val="EndNote Bibliography Char"/>
    <w:basedOn w:val="AbstractChar"/>
    <w:link w:val="EndNoteBibliography"/>
    <w:rsid w:val="002875E1"/>
    <w:rPr>
      <w:b w:val="0"/>
      <w:bCs w:val="0"/>
      <w:noProof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8A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link w:val="AbstractChar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rsid w:val="001A3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B3D"/>
  </w:style>
  <w:style w:type="paragraph" w:styleId="NormalWeb">
    <w:name w:val="Normal (Web)"/>
    <w:basedOn w:val="Normal"/>
    <w:uiPriority w:val="99"/>
    <w:unhideWhenUsed/>
    <w:rsid w:val="00253C8B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rsid w:val="003A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67C"/>
    <w:rPr>
      <w:color w:val="808080"/>
    </w:rPr>
  </w:style>
  <w:style w:type="paragraph" w:styleId="FootnoteText">
    <w:name w:val="footnote text"/>
    <w:basedOn w:val="Normal"/>
    <w:link w:val="FootnoteTextChar"/>
    <w:rsid w:val="00FF34AA"/>
  </w:style>
  <w:style w:type="character" w:customStyle="1" w:styleId="FootnoteTextChar">
    <w:name w:val="Footnote Text Char"/>
    <w:basedOn w:val="DefaultParagraphFont"/>
    <w:link w:val="FootnoteText"/>
    <w:rsid w:val="00FF34AA"/>
  </w:style>
  <w:style w:type="character" w:styleId="FootnoteReference">
    <w:name w:val="footnote reference"/>
    <w:basedOn w:val="DefaultParagraphFont"/>
    <w:rsid w:val="00FF34A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2875E1"/>
    <w:rPr>
      <w:noProof/>
    </w:rPr>
  </w:style>
  <w:style w:type="character" w:customStyle="1" w:styleId="AbstractChar">
    <w:name w:val="Abstract Char"/>
    <w:basedOn w:val="DefaultParagraphFont"/>
    <w:link w:val="Abstract"/>
    <w:rsid w:val="002875E1"/>
    <w:rPr>
      <w:b/>
      <w:bCs/>
      <w:sz w:val="18"/>
      <w:szCs w:val="18"/>
    </w:rPr>
  </w:style>
  <w:style w:type="character" w:customStyle="1" w:styleId="EndNoteBibliographyTitleChar">
    <w:name w:val="EndNote Bibliography Title Char"/>
    <w:basedOn w:val="AbstractChar"/>
    <w:link w:val="EndNoteBibliographyTitle"/>
    <w:rsid w:val="002875E1"/>
    <w:rPr>
      <w:b w:val="0"/>
      <w:bCs w:val="0"/>
      <w:noProof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2875E1"/>
    <w:rPr>
      <w:noProof/>
    </w:rPr>
  </w:style>
  <w:style w:type="character" w:customStyle="1" w:styleId="EndNoteBibliographyChar">
    <w:name w:val="EndNote Bibliography Char"/>
    <w:basedOn w:val="AbstractChar"/>
    <w:link w:val="EndNoteBibliography"/>
    <w:rsid w:val="002875E1"/>
    <w:rPr>
      <w:b w:val="0"/>
      <w:bCs w:val="0"/>
      <w:noProof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8A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9278-60E0-4DE5-A939-A8039497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mrz pc</cp:lastModifiedBy>
  <cp:revision>2</cp:revision>
  <dcterms:created xsi:type="dcterms:W3CDTF">2021-12-06T14:55:00Z</dcterms:created>
  <dcterms:modified xsi:type="dcterms:W3CDTF">2021-12-06T14:55:00Z</dcterms:modified>
</cp:coreProperties>
</file>