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97DDC" w14:textId="77777777" w:rsidR="002B7461" w:rsidRPr="00301FCF" w:rsidRDefault="002B7461" w:rsidP="003B4E04">
      <w:pPr>
        <w:pStyle w:val="Author"/>
        <w:spacing w:before="100" w:beforeAutospacing="1" w:after="100" w:afterAutospacing="1" w:line="120" w:lineRule="auto"/>
        <w:rPr>
          <w:rStyle w:val="jlqj4b"/>
          <w:sz w:val="48"/>
          <w:szCs w:val="48"/>
          <w:lang w:bidi="fa-IR"/>
        </w:rPr>
      </w:pPr>
      <w:bookmarkStart w:id="0" w:name="_GoBack"/>
      <w:bookmarkEnd w:id="0"/>
    </w:p>
    <w:p w14:paraId="5699ABBE" w14:textId="77777777" w:rsidR="00291FDB" w:rsidRDefault="00291FDB" w:rsidP="00B00591">
      <w:pPr>
        <w:rPr>
          <w:rFonts w:asciiTheme="majorBidi" w:hAnsiTheme="majorBidi" w:cstheme="majorBidi"/>
          <w:noProof/>
          <w:sz w:val="48"/>
          <w:szCs w:val="48"/>
        </w:rPr>
      </w:pPr>
    </w:p>
    <w:p w14:paraId="68B27897" w14:textId="295038A2" w:rsidR="002B7461" w:rsidRDefault="002B7461" w:rsidP="002B7461">
      <w:pPr>
        <w:rPr>
          <w:rStyle w:val="jlqj4b"/>
          <w:sz w:val="48"/>
          <w:szCs w:val="48"/>
          <w:lang w:val="en"/>
        </w:rPr>
      </w:pPr>
      <w:r>
        <w:rPr>
          <w:rStyle w:val="jlqj4b"/>
          <w:sz w:val="48"/>
          <w:szCs w:val="48"/>
          <w:lang w:val="en"/>
        </w:rPr>
        <w:t>Synergistic effect of Doxorubicin and S</w:t>
      </w:r>
      <w:r w:rsidR="008A7EA5">
        <w:rPr>
          <w:rStyle w:val="jlqj4b"/>
          <w:sz w:val="48"/>
          <w:szCs w:val="48"/>
          <w:lang w:val="en"/>
        </w:rPr>
        <w:t>ulfonamide derivative</w:t>
      </w:r>
      <w:r w:rsidRPr="002B7461">
        <w:rPr>
          <w:rStyle w:val="jlqj4b"/>
          <w:sz w:val="48"/>
          <w:szCs w:val="48"/>
          <w:lang w:val="en"/>
        </w:rPr>
        <w:t xml:space="preserve"> on induction of apoptosis</w:t>
      </w:r>
    </w:p>
    <w:p w14:paraId="7A8BC7D1" w14:textId="77777777" w:rsidR="002B7461" w:rsidRPr="002B7461" w:rsidRDefault="002B7461" w:rsidP="002B7461">
      <w:pPr>
        <w:rPr>
          <w:rFonts w:asciiTheme="majorBidi" w:hAnsiTheme="majorBidi" w:cstheme="majorBidi"/>
          <w:noProof/>
          <w:sz w:val="48"/>
          <w:szCs w:val="48"/>
        </w:rPr>
      </w:pPr>
    </w:p>
    <w:p w14:paraId="7CA3D5F0" w14:textId="77777777" w:rsidR="00B00591" w:rsidRPr="00525782" w:rsidRDefault="00B00591" w:rsidP="00B00591">
      <w:pPr>
        <w:rPr>
          <w:rFonts w:asciiTheme="majorBidi" w:hAnsiTheme="majorBidi" w:cstheme="majorBidi"/>
          <w:noProof/>
          <w:sz w:val="18"/>
          <w:szCs w:val="18"/>
          <w:vertAlign w:val="superscript"/>
        </w:rPr>
      </w:pPr>
      <w:r w:rsidRPr="00525782">
        <w:rPr>
          <w:rFonts w:asciiTheme="majorBidi" w:hAnsiTheme="majorBidi" w:cstheme="majorBidi"/>
          <w:noProof/>
          <w:sz w:val="18"/>
          <w:szCs w:val="18"/>
        </w:rPr>
        <w:t>*Shabnam Pedarpour Vajargah</w:t>
      </w:r>
      <w:r w:rsidRPr="00525782">
        <w:rPr>
          <w:rFonts w:asciiTheme="majorBidi" w:hAnsiTheme="majorBidi" w:cstheme="majorBidi"/>
          <w:noProof/>
          <w:sz w:val="18"/>
          <w:szCs w:val="18"/>
          <w:vertAlign w:val="superscript"/>
        </w:rPr>
        <w:t>1</w:t>
      </w:r>
      <w:r w:rsidRPr="00525782">
        <w:rPr>
          <w:rFonts w:asciiTheme="majorBidi" w:hAnsiTheme="majorBidi" w:cstheme="majorBidi"/>
          <w:noProof/>
          <w:sz w:val="18"/>
          <w:szCs w:val="18"/>
        </w:rPr>
        <w:t>‚ Hossien Ghafouri</w:t>
      </w:r>
      <w:r w:rsidRPr="00525782">
        <w:rPr>
          <w:rFonts w:asciiTheme="majorBidi" w:hAnsiTheme="majorBidi" w:cstheme="majorBidi"/>
          <w:noProof/>
          <w:sz w:val="18"/>
          <w:szCs w:val="18"/>
          <w:vertAlign w:val="superscript"/>
        </w:rPr>
        <w:t>1</w:t>
      </w:r>
    </w:p>
    <w:p w14:paraId="1B1B20C9" w14:textId="77777777" w:rsidR="00B00591" w:rsidRPr="00525782" w:rsidRDefault="002C5D1B" w:rsidP="00B00591">
      <w:pPr>
        <w:rPr>
          <w:rFonts w:asciiTheme="majorBidi" w:hAnsiTheme="majorBidi" w:cstheme="majorBidi"/>
          <w:noProof/>
          <w:sz w:val="18"/>
          <w:szCs w:val="18"/>
        </w:rPr>
      </w:pPr>
      <w:r w:rsidRPr="00F847A6">
        <w:rPr>
          <w:noProof/>
          <w:sz w:val="18"/>
          <w:szCs w:val="18"/>
        </w:rPr>
        <w:br/>
      </w:r>
      <w:r w:rsidR="00B00591" w:rsidRPr="00525782">
        <w:rPr>
          <w:rFonts w:asciiTheme="majorBidi" w:hAnsiTheme="majorBidi" w:cstheme="majorBidi"/>
          <w:noProof/>
          <w:sz w:val="18"/>
          <w:szCs w:val="18"/>
        </w:rPr>
        <w:t>Faculty of Basic Sciences‚ University of Guilan‚ Rasht‚ Iran</w:t>
      </w:r>
    </w:p>
    <w:p w14:paraId="4B15C42F" w14:textId="345345BC" w:rsidR="002C5D1B" w:rsidRDefault="002C5D1B" w:rsidP="00B00591">
      <w:pPr>
        <w:pStyle w:val="Author"/>
        <w:spacing w:before="0" w:after="0"/>
        <w:rPr>
          <w:sz w:val="18"/>
          <w:szCs w:val="18"/>
        </w:rPr>
      </w:pPr>
    </w:p>
    <w:p w14:paraId="15EE1FAD" w14:textId="04B81A5F" w:rsidR="004C694C" w:rsidRPr="00583956" w:rsidRDefault="002D6ACB" w:rsidP="004C694C">
      <w:pPr>
        <w:pStyle w:val="Author"/>
        <w:spacing w:before="0"/>
        <w:rPr>
          <w:sz w:val="16"/>
          <w:szCs w:val="16"/>
        </w:rPr>
        <w:sectPr w:rsidR="004C694C" w:rsidRPr="00583956" w:rsidSect="005156EC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2268" w:right="893" w:bottom="1440" w:left="893" w:header="720" w:footer="720" w:gutter="0"/>
          <w:cols w:space="720"/>
          <w:docGrid w:linePitch="360"/>
        </w:sectPr>
      </w:pPr>
      <w:hyperlink r:id="rId13" w:history="1">
        <w:r w:rsidR="00583956" w:rsidRPr="00583956">
          <w:rPr>
            <w:rStyle w:val="Hyperlink"/>
            <w:sz w:val="16"/>
            <w:szCs w:val="16"/>
          </w:rPr>
          <w:t>pedarpourshabnam@gmail.com</w:t>
        </w:r>
      </w:hyperlink>
      <w:r w:rsidR="00583956" w:rsidRPr="00583956">
        <w:rPr>
          <w:sz w:val="16"/>
          <w:szCs w:val="16"/>
        </w:rPr>
        <w:t xml:space="preserve"> </w:t>
      </w:r>
    </w:p>
    <w:p w14:paraId="388D4CA1" w14:textId="77777777" w:rsidR="003A644E" w:rsidRDefault="003A644E">
      <w:pPr>
        <w:rPr>
          <w:noProof/>
        </w:rPr>
        <w:sectPr w:rsidR="003A644E" w:rsidSect="005156EC">
          <w:type w:val="continuous"/>
          <w:pgSz w:w="11906" w:h="16838" w:code="9"/>
          <w:pgMar w:top="2268" w:right="893" w:bottom="1440" w:left="893" w:header="720" w:footer="720" w:gutter="0"/>
          <w:cols w:num="3" w:space="720"/>
          <w:docGrid w:linePitch="360"/>
        </w:sectPr>
      </w:pPr>
    </w:p>
    <w:p w14:paraId="1FC18000" w14:textId="77777777" w:rsidR="00917A57" w:rsidRDefault="00917A57">
      <w:pPr>
        <w:rPr>
          <w:noProof/>
        </w:rPr>
      </w:pPr>
    </w:p>
    <w:p w14:paraId="79F258E8" w14:textId="77777777" w:rsidR="004A036B" w:rsidRDefault="004A036B" w:rsidP="004A036B">
      <w:pPr>
        <w:rPr>
          <w:noProof/>
        </w:rPr>
      </w:pPr>
    </w:p>
    <w:p w14:paraId="6149A302" w14:textId="77777777" w:rsidR="004A036B" w:rsidRDefault="004A036B" w:rsidP="004A036B">
      <w:pPr>
        <w:rPr>
          <w:noProof/>
        </w:rPr>
        <w:sectPr w:rsidR="004A036B" w:rsidSect="003B4E04">
          <w:headerReference w:type="first" r:id="rId14"/>
          <w:footerReference w:type="first" r:id="rId15"/>
          <w:type w:val="continuous"/>
          <w:pgSz w:w="11906" w:h="16838" w:code="9"/>
          <w:pgMar w:top="450" w:right="893" w:bottom="1440" w:left="893" w:header="720" w:footer="720" w:gutter="0"/>
          <w:cols w:num="3" w:space="720"/>
          <w:docGrid w:linePitch="360"/>
        </w:sectPr>
      </w:pPr>
    </w:p>
    <w:p w14:paraId="60FF5EC3" w14:textId="77777777" w:rsidR="004A036B" w:rsidRDefault="004A036B" w:rsidP="004A036B">
      <w:pPr>
        <w:rPr>
          <w:noProof/>
        </w:rPr>
      </w:pPr>
    </w:p>
    <w:p w14:paraId="3874D2DC" w14:textId="30274CC9" w:rsidR="00B00591" w:rsidRPr="00B00591" w:rsidRDefault="004A036B" w:rsidP="00583956">
      <w:pPr>
        <w:jc w:val="both"/>
        <w:rPr>
          <w:rFonts w:eastAsia="Times New Roman"/>
          <w:b/>
          <w:bCs/>
          <w:noProof/>
          <w:sz w:val="18"/>
          <w:szCs w:val="18"/>
        </w:rPr>
      </w:pPr>
      <w:r w:rsidRPr="00B00591">
        <w:rPr>
          <w:b/>
          <w:bCs/>
          <w:i/>
          <w:iCs/>
          <w:noProof/>
          <w:sz w:val="18"/>
          <w:szCs w:val="18"/>
        </w:rPr>
        <w:t>Abstract</w:t>
      </w:r>
      <w:r w:rsidRPr="00B00591">
        <w:rPr>
          <w:b/>
          <w:bCs/>
          <w:noProof/>
          <w:sz w:val="18"/>
          <w:szCs w:val="18"/>
        </w:rPr>
        <w:t>—</w:t>
      </w:r>
      <w:r w:rsidR="00B00591" w:rsidRPr="00B00591">
        <w:rPr>
          <w:rStyle w:val="jlqj4b"/>
          <w:rFonts w:asciiTheme="majorBidi" w:hAnsiTheme="majorBidi" w:cstheme="majorBidi"/>
          <w:b/>
          <w:bCs/>
          <w:noProof/>
          <w:sz w:val="18"/>
          <w:szCs w:val="18"/>
        </w:rPr>
        <w:t>Breast cancer is the most common malignancy in women and one of the three most common cancers worldwide along with lung and colon cancer</w:t>
      </w:r>
      <w:r w:rsidR="00583956">
        <w:rPr>
          <w:rStyle w:val="jlqj4b"/>
          <w:rFonts w:asciiTheme="majorBidi" w:hAnsiTheme="majorBidi" w:cstheme="majorBidi"/>
          <w:b/>
          <w:bCs/>
          <w:noProof/>
          <w:sz w:val="18"/>
          <w:szCs w:val="18"/>
        </w:rPr>
        <w:t>.</w:t>
      </w:r>
      <w:r w:rsidR="00B00591" w:rsidRPr="00B00591">
        <w:rPr>
          <w:b/>
          <w:bCs/>
          <w:noProof/>
          <w:sz w:val="18"/>
          <w:szCs w:val="18"/>
        </w:rPr>
        <w:t xml:space="preserve"> </w:t>
      </w:r>
      <w:r w:rsidR="00B00591" w:rsidRPr="00B00591">
        <w:rPr>
          <w:rFonts w:asciiTheme="majorBidi" w:hAnsiTheme="majorBidi" w:cstheme="majorBidi"/>
          <w:b/>
          <w:bCs/>
          <w:noProof/>
          <w:sz w:val="18"/>
          <w:szCs w:val="18"/>
        </w:rPr>
        <w:t>One in eight to ten women will get breast</w:t>
      </w:r>
      <w:r w:rsidR="00583956">
        <w:rPr>
          <w:rFonts w:asciiTheme="majorBidi" w:hAnsiTheme="majorBidi" w:cstheme="majorBidi"/>
          <w:b/>
          <w:bCs/>
          <w:noProof/>
          <w:sz w:val="18"/>
          <w:szCs w:val="18"/>
        </w:rPr>
        <w:t xml:space="preserve"> cancer during their lifetime. </w:t>
      </w:r>
      <w:r w:rsidR="00B00591" w:rsidRPr="00B00591">
        <w:rPr>
          <w:rStyle w:val="jlqj4b"/>
          <w:rFonts w:asciiTheme="majorBidi" w:hAnsiTheme="majorBidi" w:cstheme="majorBidi"/>
          <w:b/>
          <w:bCs/>
          <w:noProof/>
          <w:sz w:val="18"/>
          <w:szCs w:val="18"/>
        </w:rPr>
        <w:t>Doxorubicin is one of the most potent anti-neoplastic drugs, given alone or in combination with other agents, and it is also the class of the class that has the widest range of activities.</w:t>
      </w:r>
      <w:r w:rsidR="00B00591" w:rsidRPr="00B00591">
        <w:rPr>
          <w:rFonts w:asciiTheme="majorBidi" w:hAnsiTheme="majorBidi" w:cstheme="majorBidi"/>
          <w:b/>
          <w:bCs/>
          <w:noProof/>
          <w:sz w:val="18"/>
          <w:szCs w:val="18"/>
        </w:rPr>
        <w:t xml:space="preserve"> </w:t>
      </w:r>
      <w:r w:rsidR="00B00591" w:rsidRPr="00B00591">
        <w:rPr>
          <w:rStyle w:val="jlqj4b"/>
          <w:rFonts w:asciiTheme="majorBidi" w:hAnsiTheme="majorBidi" w:cstheme="majorBidi"/>
          <w:b/>
          <w:bCs/>
          <w:noProof/>
          <w:sz w:val="18"/>
          <w:szCs w:val="18"/>
        </w:rPr>
        <w:t>In fact, Doxorubicin is used to treat solid tumors and blood cancers, including breast, bile duct, prostate, uterus, and ovary.</w:t>
      </w:r>
      <w:r w:rsidR="00B00591" w:rsidRPr="00B00591">
        <w:rPr>
          <w:rFonts w:asciiTheme="majorBidi" w:hAnsiTheme="majorBidi" w:cstheme="majorBidi"/>
          <w:b/>
          <w:bCs/>
          <w:noProof/>
          <w:sz w:val="18"/>
          <w:szCs w:val="18"/>
        </w:rPr>
        <w:t xml:space="preserve"> </w:t>
      </w:r>
      <w:r w:rsidR="00B00591" w:rsidRPr="00B00591">
        <w:rPr>
          <w:rStyle w:val="jlqj4b"/>
          <w:rFonts w:asciiTheme="majorBidi" w:hAnsiTheme="majorBidi" w:cstheme="majorBidi"/>
          <w:b/>
          <w:bCs/>
          <w:noProof/>
          <w:sz w:val="18"/>
          <w:szCs w:val="18"/>
        </w:rPr>
        <w:t>Despite significant anti-cancer activity, the practical and therapeutic use of Doxorubicin is limited by toxicities such as cardiac toxicity.</w:t>
      </w:r>
      <w:r w:rsidR="00B00591" w:rsidRPr="00B00591">
        <w:rPr>
          <w:rFonts w:asciiTheme="majorBidi" w:hAnsiTheme="majorBidi" w:cstheme="majorBidi"/>
          <w:b/>
          <w:bCs/>
          <w:noProof/>
          <w:sz w:val="18"/>
          <w:szCs w:val="18"/>
        </w:rPr>
        <w:t xml:space="preserve"> </w:t>
      </w:r>
      <w:r w:rsidR="00B00591" w:rsidRPr="00B00591">
        <w:rPr>
          <w:rFonts w:asciiTheme="majorBidi" w:eastAsia="Times New Roman" w:hAnsiTheme="majorBidi" w:cstheme="majorBidi"/>
          <w:b/>
          <w:bCs/>
          <w:noProof/>
          <w:sz w:val="18"/>
          <w:szCs w:val="18"/>
        </w:rPr>
        <w:t xml:space="preserve">Therefore, it is desirable in combination therapy with other drugs. </w:t>
      </w:r>
      <w:r w:rsidR="00B00591" w:rsidRPr="00B00591">
        <w:rPr>
          <w:rStyle w:val="jlqj4b"/>
          <w:rFonts w:asciiTheme="majorBidi" w:hAnsiTheme="majorBidi" w:cstheme="majorBidi"/>
          <w:b/>
          <w:bCs/>
          <w:noProof/>
          <w:sz w:val="18"/>
          <w:szCs w:val="18"/>
        </w:rPr>
        <w:t>A synergistic therapeutic effect is defined as a stronger effect by combining two or more compounds compared to single compounds as equal concentrations.</w:t>
      </w:r>
      <w:r w:rsidR="00B00591" w:rsidRPr="00B00591">
        <w:rPr>
          <w:rFonts w:asciiTheme="majorBidi" w:eastAsia="Times New Roman" w:hAnsiTheme="majorBidi" w:cstheme="majorBidi"/>
          <w:b/>
          <w:bCs/>
          <w:noProof/>
          <w:sz w:val="18"/>
          <w:szCs w:val="18"/>
        </w:rPr>
        <w:t xml:space="preserve"> It is believed that combined chemotherapy methods have been used to reduce drug toxicity, delay the growth of cancer cells, and achieve greater efficacy than an active drug alone. </w:t>
      </w:r>
      <w:r w:rsidR="00B00591" w:rsidRPr="00B00591">
        <w:rPr>
          <w:rStyle w:val="jlqj4b"/>
          <w:rFonts w:asciiTheme="majorBidi" w:hAnsiTheme="majorBidi" w:cstheme="majorBidi"/>
          <w:b/>
          <w:bCs/>
          <w:noProof/>
          <w:sz w:val="18"/>
          <w:szCs w:val="18"/>
        </w:rPr>
        <w:t>A Sulfonamide is a functional group (part of a molecule) that forms the basis of several groups of drugs called Sulfonamides, called Sulfa drugs.</w:t>
      </w:r>
      <w:r w:rsidR="00B00591" w:rsidRPr="00B00591">
        <w:rPr>
          <w:rFonts w:asciiTheme="majorBidi" w:eastAsia="Times New Roman" w:hAnsiTheme="majorBidi" w:cstheme="majorBidi"/>
          <w:b/>
          <w:bCs/>
          <w:noProof/>
          <w:sz w:val="18"/>
          <w:szCs w:val="18"/>
        </w:rPr>
        <w:t xml:space="preserve"> </w:t>
      </w:r>
      <w:r w:rsidR="00B00591" w:rsidRPr="00B00591">
        <w:rPr>
          <w:rStyle w:val="jlqj4b"/>
          <w:rFonts w:asciiTheme="majorBidi" w:hAnsiTheme="majorBidi" w:cstheme="majorBidi"/>
          <w:b/>
          <w:bCs/>
          <w:noProof/>
          <w:sz w:val="18"/>
          <w:szCs w:val="18"/>
        </w:rPr>
        <w:t>Sulfonamide-based compounds exhibit a large number of biological activities such as anti-cancer activity.</w:t>
      </w:r>
      <w:r w:rsidR="00B00591" w:rsidRPr="00B00591">
        <w:rPr>
          <w:rFonts w:asciiTheme="majorBidi" w:eastAsia="Times New Roman" w:hAnsiTheme="majorBidi" w:cstheme="majorBidi"/>
          <w:b/>
          <w:bCs/>
          <w:noProof/>
          <w:sz w:val="18"/>
          <w:szCs w:val="18"/>
        </w:rPr>
        <w:t xml:space="preserve"> </w:t>
      </w:r>
      <w:r w:rsidR="00B00591" w:rsidRPr="00B00591">
        <w:rPr>
          <w:rFonts w:eastAsia="Times New Roman"/>
          <w:b/>
          <w:bCs/>
          <w:noProof/>
          <w:sz w:val="18"/>
          <w:szCs w:val="18"/>
        </w:rPr>
        <w:t xml:space="preserve">In this study, we investigated the synergistic effect of Doxorubicin and Sulfonamide derivatives on the expression of the anti-apoptotic protein Bcl-2 in MCF-7 breast cancer cell line using Western blotting technique to evaluate the induction of apoptosis. </w:t>
      </w:r>
      <w:r w:rsidR="00B00591" w:rsidRPr="00B00591">
        <w:rPr>
          <w:rStyle w:val="jlqj4b"/>
          <w:b/>
          <w:bCs/>
          <w:noProof/>
          <w:sz w:val="18"/>
          <w:szCs w:val="18"/>
        </w:rPr>
        <w:t>Concentrations of 0.2 μg / ml for Doxorubicin and a concentration of 14.5 μM for the new Sulfonamide derivative alone and in combination were selected for this study and Bcl-2 protein expression was assessed by Western blotting</w:t>
      </w:r>
      <w:r w:rsidR="00B00591" w:rsidRPr="00B00591">
        <w:rPr>
          <w:rFonts w:eastAsia="Times New Roman"/>
          <w:b/>
          <w:bCs/>
          <w:noProof/>
          <w:sz w:val="18"/>
          <w:szCs w:val="18"/>
        </w:rPr>
        <w:t xml:space="preserve"> that </w:t>
      </w:r>
      <w:r w:rsidR="00B00591" w:rsidRPr="00B00591">
        <w:rPr>
          <w:rStyle w:val="jlqj4b"/>
          <w:b/>
          <w:bCs/>
          <w:noProof/>
          <w:sz w:val="18"/>
          <w:szCs w:val="18"/>
        </w:rPr>
        <w:t>In this study, Bcl-2 protein expression was reduced in combination with two substances, indicating a synergistic effect and induction of apoptosis in breast cancer in MCF-7 cell line.</w:t>
      </w:r>
    </w:p>
    <w:p w14:paraId="3FE35347" w14:textId="550B958B" w:rsidR="004A036B" w:rsidRDefault="004A036B" w:rsidP="00B00591">
      <w:pPr>
        <w:pStyle w:val="Abstract"/>
        <w:ind w:firstLine="0"/>
        <w:rPr>
          <w:i/>
          <w:iCs/>
          <w:noProof/>
        </w:rPr>
      </w:pPr>
    </w:p>
    <w:p w14:paraId="0EFEAEFA" w14:textId="37466D3F" w:rsidR="004A036B" w:rsidRPr="00B00591" w:rsidRDefault="004A036B" w:rsidP="006B7252">
      <w:pPr>
        <w:pStyle w:val="Keywords"/>
        <w:rPr>
          <w:noProof/>
        </w:rPr>
      </w:pPr>
      <w:r w:rsidRPr="004D72B5">
        <w:rPr>
          <w:noProof/>
        </w:rPr>
        <w:t>Keywords—</w:t>
      </w:r>
      <w:r w:rsidR="00B00591" w:rsidRPr="00B00591">
        <w:rPr>
          <w:rFonts w:asciiTheme="majorBidi" w:hAnsiTheme="majorBidi" w:cstheme="majorBidi"/>
          <w:b w:val="0"/>
          <w:bCs w:val="0"/>
          <w:iCs/>
          <w:noProof/>
        </w:rPr>
        <w:t xml:space="preserve"> </w:t>
      </w:r>
      <w:r w:rsidR="00B00591" w:rsidRPr="00B00591">
        <w:rPr>
          <w:rFonts w:asciiTheme="majorBidi" w:hAnsiTheme="majorBidi" w:cstheme="majorBidi"/>
          <w:iCs/>
          <w:noProof/>
        </w:rPr>
        <w:t>Breast cancer‚ Doxorubicin‚ Sulfonamide derivative‚ Synergistic effect‚ apoptosis</w:t>
      </w:r>
    </w:p>
    <w:p w14:paraId="5B8B5AAD" w14:textId="77777777" w:rsidR="004A036B" w:rsidRPr="00B00591" w:rsidRDefault="004A036B" w:rsidP="004A036B">
      <w:pPr>
        <w:rPr>
          <w:b/>
          <w:bCs/>
          <w:noProof/>
        </w:rPr>
        <w:sectPr w:rsidR="004A036B" w:rsidRPr="00B00591" w:rsidSect="003A644E">
          <w:type w:val="continuous"/>
          <w:pgSz w:w="11906" w:h="16838" w:code="9"/>
          <w:pgMar w:top="450" w:right="893" w:bottom="1440" w:left="893" w:header="720" w:footer="720" w:gutter="0"/>
          <w:cols w:space="720"/>
          <w:docGrid w:linePitch="360"/>
        </w:sectPr>
      </w:pPr>
    </w:p>
    <w:p w14:paraId="0C227EFC" w14:textId="77777777" w:rsidR="004A036B" w:rsidRPr="00B00591" w:rsidRDefault="004A036B" w:rsidP="004A036B">
      <w:pPr>
        <w:rPr>
          <w:b/>
          <w:bCs/>
          <w:noProof/>
        </w:rPr>
        <w:sectPr w:rsidR="004A036B" w:rsidRPr="00B00591" w:rsidSect="003B4E04">
          <w:type w:val="continuous"/>
          <w:pgSz w:w="11906" w:h="16838" w:code="9"/>
          <w:pgMar w:top="450" w:right="893" w:bottom="1440" w:left="893" w:header="720" w:footer="720" w:gutter="0"/>
          <w:cols w:num="3" w:space="720"/>
          <w:docGrid w:linePitch="360"/>
        </w:sectPr>
      </w:pPr>
      <w:r w:rsidRPr="00B00591">
        <w:rPr>
          <w:b/>
          <w:bCs/>
          <w:noProof/>
        </w:rPr>
        <w:lastRenderedPageBreak/>
        <w:br w:type="column"/>
      </w:r>
    </w:p>
    <w:p w14:paraId="226E3EC0" w14:textId="77777777" w:rsidR="004A036B" w:rsidRDefault="004A036B" w:rsidP="004A036B">
      <w:pPr>
        <w:pStyle w:val="BodyText"/>
        <w:rPr>
          <w:noProof/>
        </w:rPr>
      </w:pPr>
    </w:p>
    <w:p w14:paraId="7A69FDE0" w14:textId="77777777" w:rsidR="004A036B" w:rsidRDefault="004A036B" w:rsidP="004A036B">
      <w:pPr>
        <w:pStyle w:val="Heading5"/>
      </w:pPr>
      <w:r w:rsidRPr="005B520E">
        <w:t>References</w:t>
      </w:r>
    </w:p>
    <w:p w14:paraId="78BBD6FA" w14:textId="77777777" w:rsidR="004A036B" w:rsidRDefault="004A036B" w:rsidP="004A036B">
      <w:pPr>
        <w:pStyle w:val="BodyText"/>
        <w:rPr>
          <w:noProof/>
        </w:rPr>
      </w:pPr>
    </w:p>
    <w:p w14:paraId="2F204B8E" w14:textId="77777777" w:rsidR="004A036B" w:rsidRDefault="004A036B" w:rsidP="00583956">
      <w:pPr>
        <w:pStyle w:val="references"/>
        <w:numPr>
          <w:ilvl w:val="0"/>
          <w:numId w:val="0"/>
        </w:numPr>
        <w:spacing w:line="240" w:lineRule="auto"/>
        <w:ind w:left="360"/>
      </w:pPr>
    </w:p>
    <w:p w14:paraId="1E1167B1" w14:textId="77777777" w:rsidR="00B00591" w:rsidRPr="00583956" w:rsidRDefault="00B00591" w:rsidP="00583956">
      <w:pPr>
        <w:jc w:val="both"/>
        <w:rPr>
          <w:rFonts w:eastAsia="Times New Roman"/>
          <w:noProof/>
          <w:sz w:val="16"/>
          <w:szCs w:val="16"/>
        </w:rPr>
      </w:pPr>
      <w:r w:rsidRPr="00583956">
        <w:rPr>
          <w:noProof/>
          <w:sz w:val="16"/>
          <w:szCs w:val="16"/>
        </w:rPr>
        <w:t xml:space="preserve">[1]  </w:t>
      </w:r>
      <w:r w:rsidRPr="00583956">
        <w:rPr>
          <w:rFonts w:eastAsia="Times New Roman"/>
          <w:noProof/>
          <w:sz w:val="16"/>
          <w:szCs w:val="16"/>
        </w:rPr>
        <w:t xml:space="preserve">Harbeck, Nadia, and Michael Gnant. "Breast cancer." </w:t>
      </w:r>
      <w:r w:rsidRPr="00583956">
        <w:rPr>
          <w:rFonts w:eastAsia="Times New Roman"/>
          <w:i/>
          <w:iCs/>
          <w:noProof/>
          <w:sz w:val="16"/>
          <w:szCs w:val="16"/>
        </w:rPr>
        <w:t>Lancet (London, England)</w:t>
      </w:r>
      <w:r w:rsidRPr="00583956">
        <w:rPr>
          <w:rFonts w:eastAsia="Times New Roman"/>
          <w:noProof/>
          <w:sz w:val="16"/>
          <w:szCs w:val="16"/>
        </w:rPr>
        <w:t xml:space="preserve"> 389, no. 10074 (2016): 1134-1150.</w:t>
      </w:r>
    </w:p>
    <w:p w14:paraId="0F80D9B0" w14:textId="1BE80587" w:rsidR="009303D9" w:rsidRPr="00583956" w:rsidRDefault="009303D9" w:rsidP="00583956">
      <w:pPr>
        <w:jc w:val="both"/>
        <w:rPr>
          <w:noProof/>
          <w:sz w:val="16"/>
          <w:szCs w:val="16"/>
        </w:rPr>
      </w:pPr>
    </w:p>
    <w:p w14:paraId="1CC3A6F4" w14:textId="4265015E" w:rsidR="00B00591" w:rsidRPr="00583956" w:rsidRDefault="00B00591" w:rsidP="00583956">
      <w:pPr>
        <w:jc w:val="both"/>
        <w:rPr>
          <w:noProof/>
          <w:sz w:val="16"/>
          <w:szCs w:val="16"/>
        </w:rPr>
      </w:pPr>
      <w:r w:rsidRPr="00583956">
        <w:rPr>
          <w:noProof/>
          <w:sz w:val="16"/>
          <w:szCs w:val="16"/>
        </w:rPr>
        <w:t xml:space="preserve">[2]  </w:t>
      </w:r>
      <w:r w:rsidRPr="00583956">
        <w:rPr>
          <w:rFonts w:eastAsia="Times New Roman"/>
          <w:noProof/>
          <w:sz w:val="16"/>
          <w:szCs w:val="16"/>
        </w:rPr>
        <w:t xml:space="preserve">Carvalho, Cristina, Renato X. Santos, Susana Cardoso, Sónia Correia, Paulo J. Oliveira, Maria S. Santos, and Paula I. Moreira. "Doxorubicin: the good, the bad and the ugly effect." </w:t>
      </w:r>
      <w:r w:rsidRPr="00583956">
        <w:rPr>
          <w:rFonts w:eastAsia="Times New Roman"/>
          <w:i/>
          <w:iCs/>
          <w:noProof/>
          <w:sz w:val="16"/>
          <w:szCs w:val="16"/>
        </w:rPr>
        <w:t>Current medicinal chemistry</w:t>
      </w:r>
      <w:r w:rsidRPr="00583956">
        <w:rPr>
          <w:rFonts w:eastAsia="Times New Roman"/>
          <w:noProof/>
          <w:sz w:val="16"/>
          <w:szCs w:val="16"/>
        </w:rPr>
        <w:t xml:space="preserve"> 16, no. 25 (2009): 3267-3285.</w:t>
      </w:r>
    </w:p>
    <w:p w14:paraId="37F24BDD" w14:textId="77777777" w:rsidR="00B00591" w:rsidRPr="00583956" w:rsidRDefault="00B00591" w:rsidP="00583956">
      <w:pPr>
        <w:jc w:val="both"/>
        <w:rPr>
          <w:noProof/>
          <w:sz w:val="16"/>
          <w:szCs w:val="16"/>
        </w:rPr>
      </w:pPr>
    </w:p>
    <w:p w14:paraId="65553985" w14:textId="54276F76" w:rsidR="00B00591" w:rsidRPr="00583956" w:rsidRDefault="00B00591" w:rsidP="00583956">
      <w:pPr>
        <w:jc w:val="both"/>
        <w:rPr>
          <w:noProof/>
          <w:sz w:val="16"/>
          <w:szCs w:val="16"/>
        </w:rPr>
      </w:pPr>
      <w:r w:rsidRPr="00583956">
        <w:rPr>
          <w:noProof/>
          <w:sz w:val="16"/>
          <w:szCs w:val="16"/>
        </w:rPr>
        <w:t xml:space="preserve">[3]  </w:t>
      </w:r>
      <w:r w:rsidRPr="00583956">
        <w:rPr>
          <w:rFonts w:asciiTheme="majorBidi" w:hAnsiTheme="majorBidi" w:cstheme="majorBidi"/>
          <w:noProof/>
          <w:color w:val="222222"/>
          <w:sz w:val="16"/>
          <w:szCs w:val="16"/>
          <w:shd w:val="clear" w:color="auto" w:fill="FFFFFF"/>
        </w:rPr>
        <w:t>Yang, Jun, and Rui Hai Liu. "Synergistic effect of apple extracts and quercetin 3-β-D-glucoside combination on antiproliferative activity in MCF-7 human breast cancer cells in vitro." </w:t>
      </w:r>
      <w:r w:rsidRPr="00583956">
        <w:rPr>
          <w:rFonts w:asciiTheme="majorBidi" w:hAnsiTheme="majorBidi" w:cstheme="majorBidi"/>
          <w:i/>
          <w:iCs/>
          <w:noProof/>
          <w:color w:val="222222"/>
          <w:sz w:val="16"/>
          <w:szCs w:val="16"/>
          <w:shd w:val="clear" w:color="auto" w:fill="FFFFFF"/>
        </w:rPr>
        <w:t>Journal of agricultural and food chemistry</w:t>
      </w:r>
      <w:r w:rsidRPr="00583956">
        <w:rPr>
          <w:rFonts w:asciiTheme="majorBidi" w:hAnsiTheme="majorBidi" w:cstheme="majorBidi"/>
          <w:noProof/>
          <w:color w:val="222222"/>
          <w:sz w:val="16"/>
          <w:szCs w:val="16"/>
          <w:shd w:val="clear" w:color="auto" w:fill="FFFFFF"/>
        </w:rPr>
        <w:t> 57, no. 18 (2009): 8581-8586</w:t>
      </w:r>
      <w:r w:rsidRPr="00583956">
        <w:rPr>
          <w:noProof/>
          <w:sz w:val="16"/>
          <w:szCs w:val="16"/>
        </w:rPr>
        <w:t>.</w:t>
      </w:r>
    </w:p>
    <w:p w14:paraId="6643DAA2" w14:textId="77777777" w:rsidR="00B00591" w:rsidRPr="00583956" w:rsidRDefault="00B00591" w:rsidP="00583956">
      <w:pPr>
        <w:jc w:val="both"/>
        <w:rPr>
          <w:noProof/>
          <w:sz w:val="16"/>
          <w:szCs w:val="16"/>
        </w:rPr>
      </w:pPr>
    </w:p>
    <w:p w14:paraId="652FE671" w14:textId="77777777" w:rsidR="00B00591" w:rsidRPr="00583956" w:rsidRDefault="00B00591" w:rsidP="00583956">
      <w:pPr>
        <w:jc w:val="both"/>
        <w:rPr>
          <w:rFonts w:eastAsia="Times New Roman"/>
          <w:noProof/>
          <w:sz w:val="16"/>
          <w:szCs w:val="16"/>
        </w:rPr>
      </w:pPr>
      <w:r w:rsidRPr="00583956">
        <w:rPr>
          <w:noProof/>
          <w:sz w:val="16"/>
          <w:szCs w:val="16"/>
        </w:rPr>
        <w:t xml:space="preserve">[4]  </w:t>
      </w:r>
      <w:r w:rsidRPr="00583956">
        <w:rPr>
          <w:rFonts w:asciiTheme="majorBidi" w:hAnsiTheme="majorBidi" w:cstheme="majorBidi"/>
          <w:noProof/>
          <w:color w:val="222222"/>
          <w:sz w:val="16"/>
          <w:szCs w:val="16"/>
          <w:shd w:val="clear" w:color="auto" w:fill="FFFFFF"/>
        </w:rPr>
        <w:t>Apaydın, Sinem, and Marianna Török. "Sulfonamide derivatives as multi-target agents for complex diseases." </w:t>
      </w:r>
      <w:r w:rsidRPr="00583956">
        <w:rPr>
          <w:rFonts w:asciiTheme="majorBidi" w:hAnsiTheme="majorBidi" w:cstheme="majorBidi"/>
          <w:i/>
          <w:iCs/>
          <w:noProof/>
          <w:color w:val="222222"/>
          <w:sz w:val="16"/>
          <w:szCs w:val="16"/>
          <w:shd w:val="clear" w:color="auto" w:fill="FFFFFF"/>
        </w:rPr>
        <w:t>Bioorganic &amp; medicinal chemistry letters</w:t>
      </w:r>
      <w:r w:rsidRPr="00583956">
        <w:rPr>
          <w:rFonts w:asciiTheme="majorBidi" w:hAnsiTheme="majorBidi" w:cstheme="majorBidi"/>
          <w:noProof/>
          <w:color w:val="222222"/>
          <w:sz w:val="16"/>
          <w:szCs w:val="16"/>
          <w:shd w:val="clear" w:color="auto" w:fill="FFFFFF"/>
        </w:rPr>
        <w:t> 29, no. 16 (2019): 2042-2050.</w:t>
      </w:r>
    </w:p>
    <w:p w14:paraId="07EBF051" w14:textId="016EFCDE" w:rsidR="00B00591" w:rsidRPr="00583956" w:rsidRDefault="00B00591" w:rsidP="00583956">
      <w:pPr>
        <w:jc w:val="both"/>
        <w:rPr>
          <w:noProof/>
          <w:sz w:val="16"/>
          <w:szCs w:val="16"/>
        </w:rPr>
      </w:pPr>
    </w:p>
    <w:sectPr w:rsidR="00B00591" w:rsidRPr="00583956" w:rsidSect="005156EC">
      <w:type w:val="continuous"/>
      <w:pgSz w:w="11906" w:h="16838" w:code="9"/>
      <w:pgMar w:top="2268" w:right="893" w:bottom="1440" w:left="8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3C0B57" w14:textId="77777777" w:rsidR="002D6ACB" w:rsidRDefault="002D6ACB" w:rsidP="001A3B3D">
      <w:r>
        <w:separator/>
      </w:r>
    </w:p>
  </w:endnote>
  <w:endnote w:type="continuationSeparator" w:id="0">
    <w:p w14:paraId="3006AA41" w14:textId="77777777" w:rsidR="002D6ACB" w:rsidRDefault="002D6ACB" w:rsidP="001A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BF1AC" w14:textId="77777777" w:rsidR="005156EC" w:rsidRDefault="005156EC">
    <w:pPr>
      <w:pStyle w:val="Footer"/>
    </w:pPr>
    <w:r>
      <w:rPr>
        <w:noProof/>
        <w:lang w:bidi="fa-IR"/>
      </w:rPr>
      <w:drawing>
        <wp:anchor distT="0" distB="0" distL="114300" distR="114300" simplePos="0" relativeHeight="251657216" behindDoc="1" locked="0" layoutInCell="1" allowOverlap="1" wp14:anchorId="323AB774" wp14:editId="6C90FE68">
          <wp:simplePos x="0" y="0"/>
          <wp:positionH relativeFrom="column">
            <wp:posOffset>-571500</wp:posOffset>
          </wp:positionH>
          <wp:positionV relativeFrom="paragraph">
            <wp:posOffset>105410</wp:posOffset>
          </wp:positionV>
          <wp:extent cx="7559675" cy="488540"/>
          <wp:effectExtent l="0" t="0" r="3175" b="698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oot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488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762CA" w14:textId="77777777" w:rsidR="001A3B3D" w:rsidRPr="006F6D3D" w:rsidRDefault="005156EC" w:rsidP="0056610F">
    <w:pPr>
      <w:pStyle w:val="Footer"/>
      <w:jc w:val="left"/>
      <w:rPr>
        <w:sz w:val="16"/>
        <w:szCs w:val="16"/>
      </w:rPr>
    </w:pPr>
    <w:r>
      <w:rPr>
        <w:noProof/>
        <w:sz w:val="16"/>
        <w:szCs w:val="16"/>
        <w:lang w:bidi="fa-IR"/>
      </w:rPr>
      <w:drawing>
        <wp:anchor distT="0" distB="0" distL="114300" distR="114300" simplePos="0" relativeHeight="251655168" behindDoc="1" locked="0" layoutInCell="1" allowOverlap="1" wp14:anchorId="59A5A8EF" wp14:editId="434EC70B">
          <wp:simplePos x="0" y="0"/>
          <wp:positionH relativeFrom="column">
            <wp:posOffset>-682625</wp:posOffset>
          </wp:positionH>
          <wp:positionV relativeFrom="paragraph">
            <wp:posOffset>149860</wp:posOffset>
          </wp:positionV>
          <wp:extent cx="7663815" cy="495300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oot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381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3B3D" w:rsidRPr="006F6D3D">
      <w:rPr>
        <w:sz w:val="16"/>
        <w:szCs w:val="16"/>
      </w:rPr>
      <w:t>XXX-X-XXXX-XXXX-X/XX/$XX.00 ©20XX IEEE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7D69F" w14:textId="77777777" w:rsidR="004A036B" w:rsidRPr="006F6D3D" w:rsidRDefault="004A036B" w:rsidP="0056610F">
    <w:pPr>
      <w:pStyle w:val="Footer"/>
      <w:jc w:val="left"/>
      <w:rPr>
        <w:sz w:val="16"/>
        <w:szCs w:val="16"/>
      </w:rPr>
    </w:pPr>
    <w:r w:rsidRPr="006F6D3D">
      <w:rPr>
        <w:sz w:val="16"/>
        <w:szCs w:val="16"/>
      </w:rPr>
      <w:t xml:space="preserve">XXX-X-XXXX-XXXX-X/XX/$XX.00 ©20XX </w:t>
    </w:r>
    <w:r>
      <w:rPr>
        <w:sz w:val="16"/>
        <w:szCs w:val="16"/>
      </w:rPr>
      <w:t>ISC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290CCB" w14:textId="77777777" w:rsidR="002D6ACB" w:rsidRDefault="002D6ACB" w:rsidP="001A3B3D">
      <w:r>
        <w:separator/>
      </w:r>
    </w:p>
  </w:footnote>
  <w:footnote w:type="continuationSeparator" w:id="0">
    <w:p w14:paraId="2B307735" w14:textId="77777777" w:rsidR="002D6ACB" w:rsidRDefault="002D6ACB" w:rsidP="001A3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CF929" w14:textId="4BDFE2A9" w:rsidR="005156EC" w:rsidRPr="002B793B" w:rsidRDefault="005156EC" w:rsidP="005156EC">
    <w:pPr>
      <w:pStyle w:val="Header"/>
      <w:bidi/>
      <w:rPr>
        <w:sz w:val="18"/>
        <w:szCs w:val="18"/>
        <w:rtl/>
        <w:lang w:bidi="fa-IR"/>
      </w:rPr>
    </w:pPr>
    <w:r w:rsidRPr="002B793B">
      <w:rPr>
        <w:noProof/>
        <w:sz w:val="18"/>
        <w:szCs w:val="18"/>
        <w:rtl/>
        <w:lang w:bidi="fa-IR"/>
      </w:rPr>
      <w:drawing>
        <wp:anchor distT="0" distB="0" distL="114300" distR="114300" simplePos="0" relativeHeight="251656192" behindDoc="1" locked="0" layoutInCell="1" allowOverlap="1" wp14:anchorId="2383D816" wp14:editId="14058136">
          <wp:simplePos x="0" y="0"/>
          <wp:positionH relativeFrom="column">
            <wp:posOffset>-576580</wp:posOffset>
          </wp:positionH>
          <wp:positionV relativeFrom="paragraph">
            <wp:posOffset>-485775</wp:posOffset>
          </wp:positionV>
          <wp:extent cx="7620000" cy="122364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head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0" cy="1223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793B">
      <w:rPr>
        <w:sz w:val="18"/>
        <w:szCs w:val="18"/>
        <w:lang w:bidi="fa-IR"/>
      </w:rPr>
      <w:t>Last name of 1th a</w:t>
    </w:r>
    <w:r w:rsidR="00677B17" w:rsidRPr="002B793B">
      <w:rPr>
        <w:sz w:val="18"/>
        <w:szCs w:val="18"/>
        <w:lang w:bidi="fa-IR"/>
      </w:rPr>
      <w:t>u</w:t>
    </w:r>
    <w:r w:rsidRPr="002B793B">
      <w:rPr>
        <w:sz w:val="18"/>
        <w:szCs w:val="18"/>
        <w:lang w:bidi="fa-IR"/>
      </w:rPr>
      <w:t>thor et al (only 1th author′s name is mentioned), Short title of the article (up to 8 words)</w:t>
    </w:r>
    <w:r w:rsidRPr="002B793B">
      <w:rPr>
        <w:rFonts w:hint="cs"/>
        <w:sz w:val="18"/>
        <w:szCs w:val="18"/>
        <w:rtl/>
        <w:lang w:bidi="fa-IR"/>
      </w:rPr>
      <w:t xml:space="preserve"> </w:t>
    </w:r>
  </w:p>
  <w:p w14:paraId="22DF723D" w14:textId="77777777" w:rsidR="004C667C" w:rsidRPr="005156EC" w:rsidRDefault="004C667C" w:rsidP="005156EC">
    <w:pPr>
      <w:pStyle w:val="Header"/>
      <w:rPr>
        <w:rtl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0EDA8" w14:textId="57D166BB" w:rsidR="006C0C76" w:rsidRPr="00696FD9" w:rsidRDefault="002D6ACB" w:rsidP="006C0C76">
    <w:pPr>
      <w:pStyle w:val="Header"/>
      <w:ind w:left="-770" w:firstLine="270"/>
      <w:rPr>
        <w:rFonts w:asciiTheme="majorBidi" w:hAnsiTheme="majorBidi" w:cstheme="majorBidi"/>
        <w:b/>
        <w:bCs/>
        <w:color w:val="333333"/>
        <w:sz w:val="28"/>
        <w:szCs w:val="28"/>
      </w:rPr>
    </w:pPr>
    <w:r>
      <w:rPr>
        <w:rFonts w:asciiTheme="majorBidi" w:hAnsiTheme="majorBidi" w:cstheme="majorBidi"/>
        <w:noProof/>
        <w:sz w:val="22"/>
        <w:szCs w:val="22"/>
      </w:rPr>
      <w:pict w14:anchorId="25A9D7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10455" o:spid="_x0000_s3073" type="#_x0000_t75" style="position:absolute;left:0;text-align:left;margin-left:-45pt;margin-top:-113.3pt;width:595.2pt;height:845.6pt;z-index:-251656192;mso-position-horizontal-relative:margin;mso-position-vertical-relative:margin" o:allowincell="f">
          <v:imagedata r:id="rId1" o:title="en art_"/>
          <w10:wrap anchorx="margin" anchory="margin"/>
        </v:shape>
      </w:pict>
    </w:r>
    <w:r w:rsidR="006C0C76" w:rsidRPr="00696FD9">
      <w:rPr>
        <w:rFonts w:asciiTheme="majorBidi" w:hAnsiTheme="majorBidi" w:cstheme="majorBidi"/>
        <w:b/>
        <w:bCs/>
        <w:color w:val="333333"/>
        <w:sz w:val="28"/>
        <w:szCs w:val="28"/>
      </w:rPr>
      <w:t>The 1st International and 3rd National Conference on Biomathematics</w:t>
    </w:r>
  </w:p>
  <w:p w14:paraId="71447BAC" w14:textId="0F7908E7" w:rsidR="006423C3" w:rsidRPr="00696FD9" w:rsidRDefault="006C0C76" w:rsidP="006C0C76">
    <w:pPr>
      <w:pStyle w:val="Header"/>
      <w:tabs>
        <w:tab w:val="left" w:pos="4788"/>
        <w:tab w:val="center" w:pos="5060"/>
      </w:tabs>
      <w:rPr>
        <w:rFonts w:asciiTheme="majorBidi" w:hAnsiTheme="majorBidi" w:cstheme="majorBidi"/>
      </w:rPr>
    </w:pPr>
    <w:r w:rsidRPr="00696FD9">
      <w:rPr>
        <w:rFonts w:asciiTheme="majorBidi" w:hAnsiTheme="majorBidi" w:cstheme="majorBidi"/>
        <w:color w:val="333333"/>
        <w:sz w:val="24"/>
        <w:szCs w:val="24"/>
      </w:rPr>
      <w:t xml:space="preserve">19-21 January 2022, Damghan </w:t>
    </w:r>
    <w:r w:rsidR="00B55AAF">
      <w:rPr>
        <w:rFonts w:asciiTheme="majorBidi" w:hAnsiTheme="majorBidi" w:cstheme="majorBidi"/>
        <w:color w:val="333333"/>
        <w:sz w:val="24"/>
        <w:szCs w:val="24"/>
      </w:rPr>
      <w:t>U</w:t>
    </w:r>
    <w:r w:rsidRPr="00696FD9">
      <w:rPr>
        <w:rFonts w:asciiTheme="majorBidi" w:hAnsiTheme="majorBidi" w:cstheme="majorBidi"/>
        <w:color w:val="333333"/>
        <w:sz w:val="24"/>
        <w:szCs w:val="24"/>
      </w:rPr>
      <w:t>niversity</w:t>
    </w:r>
    <w:r w:rsidR="007036D4" w:rsidRPr="00696FD9">
      <w:rPr>
        <w:rFonts w:asciiTheme="majorBidi" w:hAnsiTheme="majorBidi" w:cstheme="majorBidi"/>
        <w:color w:val="333333"/>
        <w:sz w:val="24"/>
        <w:szCs w:val="24"/>
      </w:rPr>
      <w:t>, Iran.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D05CF" w14:textId="77777777" w:rsidR="004A036B" w:rsidRDefault="004A036B" w:rsidP="00A718B6">
    <w:pPr>
      <w:autoSpaceDE w:val="0"/>
      <w:autoSpaceDN w:val="0"/>
      <w:adjustRightInd w:val="0"/>
      <w:rPr>
        <w:rFonts w:asciiTheme="majorBidi" w:hAnsiTheme="majorBidi" w:cstheme="majorBidi"/>
      </w:rPr>
    </w:pPr>
    <w:r>
      <w:rPr>
        <w:rFonts w:asciiTheme="majorBidi" w:hAnsiTheme="majorBidi" w:cstheme="majorBidi"/>
        <w:noProof/>
        <w:lang w:bidi="fa-IR"/>
      </w:rPr>
      <w:drawing>
        <wp:anchor distT="0" distB="0" distL="114300" distR="114300" simplePos="0" relativeHeight="251659264" behindDoc="1" locked="0" layoutInCell="1" allowOverlap="1" wp14:anchorId="3F099F42" wp14:editId="6F2F854F">
          <wp:simplePos x="0" y="0"/>
          <wp:positionH relativeFrom="column">
            <wp:posOffset>6098540</wp:posOffset>
          </wp:positionH>
          <wp:positionV relativeFrom="paragraph">
            <wp:posOffset>-164465</wp:posOffset>
          </wp:positionV>
          <wp:extent cx="680085" cy="412115"/>
          <wp:effectExtent l="0" t="0" r="5715" b="698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085" cy="412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Bidi" w:hAnsiTheme="majorBidi" w:cstheme="majorBidi"/>
        <w:noProof/>
        <w:lang w:bidi="fa-IR"/>
      </w:rPr>
      <w:drawing>
        <wp:anchor distT="0" distB="0" distL="114300" distR="114300" simplePos="0" relativeHeight="251658240" behindDoc="1" locked="0" layoutInCell="1" allowOverlap="1" wp14:anchorId="0D1A1BD7" wp14:editId="3DAACF90">
          <wp:simplePos x="0" y="0"/>
          <wp:positionH relativeFrom="margin">
            <wp:posOffset>-289560</wp:posOffset>
          </wp:positionH>
          <wp:positionV relativeFrom="paragraph">
            <wp:posOffset>-332105</wp:posOffset>
          </wp:positionV>
          <wp:extent cx="487045" cy="674370"/>
          <wp:effectExtent l="0" t="0" r="8255" b="0"/>
          <wp:wrapTight wrapText="bothSides">
            <wp:wrapPolygon edited="0">
              <wp:start x="6759" y="0"/>
              <wp:lineTo x="2535" y="3051"/>
              <wp:lineTo x="0" y="6712"/>
              <wp:lineTo x="0" y="20746"/>
              <wp:lineTo x="21121" y="20746"/>
              <wp:lineTo x="21121" y="4881"/>
              <wp:lineTo x="15207" y="0"/>
              <wp:lineTo x="6759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u logo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7045" cy="674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994A716" w14:textId="77777777" w:rsidR="004A036B" w:rsidRPr="00415F75" w:rsidRDefault="004A036B" w:rsidP="00A37392">
    <w:pPr>
      <w:autoSpaceDE w:val="0"/>
      <w:autoSpaceDN w:val="0"/>
      <w:adjustRightInd w:val="0"/>
      <w:rPr>
        <w:rFonts w:asciiTheme="majorBidi" w:hAnsiTheme="majorBidi" w:cstheme="majorBidi"/>
        <w:sz w:val="18"/>
        <w:szCs w:val="18"/>
      </w:rPr>
    </w:pPr>
    <w:r w:rsidRPr="00415F75">
      <w:rPr>
        <w:rFonts w:asciiTheme="majorBidi" w:hAnsiTheme="majorBidi" w:cstheme="majorBidi"/>
        <w:sz w:val="18"/>
        <w:szCs w:val="18"/>
      </w:rPr>
      <w:t>The 1</w:t>
    </w:r>
    <w:r w:rsidRPr="00415F75">
      <w:rPr>
        <w:rFonts w:asciiTheme="majorBidi" w:hAnsiTheme="majorBidi" w:cstheme="majorBidi"/>
        <w:sz w:val="18"/>
        <w:szCs w:val="18"/>
        <w:vertAlign w:val="superscript"/>
      </w:rPr>
      <w:t>st</w:t>
    </w:r>
    <w:r w:rsidRPr="00415F75">
      <w:rPr>
        <w:rFonts w:asciiTheme="majorBidi" w:hAnsiTheme="majorBidi" w:cstheme="majorBidi"/>
        <w:sz w:val="18"/>
        <w:szCs w:val="18"/>
      </w:rPr>
      <w:t xml:space="preserve"> International and 3</w:t>
    </w:r>
    <w:r w:rsidRPr="00415F75">
      <w:rPr>
        <w:rFonts w:asciiTheme="majorBidi" w:hAnsiTheme="majorBidi" w:cstheme="majorBidi"/>
        <w:sz w:val="18"/>
        <w:szCs w:val="18"/>
        <w:vertAlign w:val="superscript"/>
      </w:rPr>
      <w:t>rd</w:t>
    </w:r>
    <w:r w:rsidRPr="00415F75">
      <w:rPr>
        <w:rFonts w:asciiTheme="majorBidi" w:hAnsiTheme="majorBidi" w:cstheme="majorBidi"/>
        <w:sz w:val="18"/>
        <w:szCs w:val="18"/>
      </w:rPr>
      <w:t xml:space="preserve"> National Conference on Biomathematics</w:t>
    </w:r>
    <w:r>
      <w:rPr>
        <w:rFonts w:asciiTheme="majorBidi" w:hAnsiTheme="majorBidi" w:cstheme="majorBidi"/>
        <w:sz w:val="18"/>
        <w:szCs w:val="18"/>
      </w:rPr>
      <w:t xml:space="preserve"> - 19-21 January 2022 </w:t>
    </w:r>
    <w:r w:rsidRPr="00415F75">
      <w:rPr>
        <w:rFonts w:asciiTheme="majorBidi" w:hAnsiTheme="majorBidi" w:cstheme="majorBidi"/>
        <w:sz w:val="18"/>
        <w:szCs w:val="18"/>
      </w:rPr>
      <w:t xml:space="preserve">- </w:t>
    </w:r>
    <w:proofErr w:type="spellStart"/>
    <w:r w:rsidRPr="00415F75">
      <w:rPr>
        <w:rFonts w:asciiTheme="majorBidi" w:hAnsiTheme="majorBidi" w:cstheme="majorBidi"/>
        <w:sz w:val="18"/>
        <w:szCs w:val="18"/>
      </w:rPr>
      <w:t>Damghan</w:t>
    </w:r>
    <w:proofErr w:type="spellEnd"/>
    <w:r w:rsidRPr="00415F75">
      <w:rPr>
        <w:rFonts w:asciiTheme="majorBidi" w:hAnsiTheme="majorBidi" w:cstheme="majorBidi"/>
        <w:sz w:val="18"/>
        <w:szCs w:val="18"/>
      </w:rPr>
      <w:t xml:space="preserve"> University, Iran</w:t>
    </w:r>
    <w:r>
      <w:rPr>
        <w:rFonts w:asciiTheme="majorBidi" w:hAnsiTheme="majorBidi" w:cstheme="majorBidi"/>
        <w:sz w:val="18"/>
        <w:szCs w:val="18"/>
      </w:rPr>
      <w:t>.</w:t>
    </w:r>
  </w:p>
  <w:p w14:paraId="16DAC0B9" w14:textId="77777777" w:rsidR="004A036B" w:rsidRPr="00271D8B" w:rsidRDefault="004A036B" w:rsidP="00271D8B">
    <w:pPr>
      <w:autoSpaceDE w:val="0"/>
      <w:autoSpaceDN w:val="0"/>
      <w:adjustRightInd w:val="0"/>
      <w:jc w:val="left"/>
      <w:rPr>
        <w:rFonts w:ascii="Arial-BoldMT" w:hAnsi="Arial-BoldMT" w:cs="Arial-BoldM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A36CE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D629B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2648E1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D38DB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632C24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2268A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C0E77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74639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1ACC4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29E8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A847A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E177E97"/>
    <w:multiLevelType w:val="hybridMultilevel"/>
    <w:tmpl w:val="A6463BCE"/>
    <w:lvl w:ilvl="0" w:tplc="04140013">
      <w:start w:val="1"/>
      <w:numFmt w:val="upperRoman"/>
      <w:lvlText w:val="%1."/>
      <w:lvlJc w:val="right"/>
      <w:pPr>
        <w:ind w:left="936" w:hanging="360"/>
      </w:pPr>
    </w:lvl>
    <w:lvl w:ilvl="1" w:tplc="04140019" w:tentative="1">
      <w:start w:val="1"/>
      <w:numFmt w:val="lowerLetter"/>
      <w:lvlText w:val="%2."/>
      <w:lvlJc w:val="left"/>
      <w:pPr>
        <w:ind w:left="1656" w:hanging="360"/>
      </w:pPr>
    </w:lvl>
    <w:lvl w:ilvl="2" w:tplc="0414001B" w:tentative="1">
      <w:start w:val="1"/>
      <w:numFmt w:val="lowerRoman"/>
      <w:lvlText w:val="%3."/>
      <w:lvlJc w:val="right"/>
      <w:pPr>
        <w:ind w:left="2376" w:hanging="180"/>
      </w:pPr>
    </w:lvl>
    <w:lvl w:ilvl="3" w:tplc="0414000F" w:tentative="1">
      <w:start w:val="1"/>
      <w:numFmt w:val="decimal"/>
      <w:lvlText w:val="%4."/>
      <w:lvlJc w:val="left"/>
      <w:pPr>
        <w:ind w:left="3096" w:hanging="360"/>
      </w:pPr>
    </w:lvl>
    <w:lvl w:ilvl="4" w:tplc="04140019" w:tentative="1">
      <w:start w:val="1"/>
      <w:numFmt w:val="lowerLetter"/>
      <w:lvlText w:val="%5."/>
      <w:lvlJc w:val="left"/>
      <w:pPr>
        <w:ind w:left="3816" w:hanging="360"/>
      </w:pPr>
    </w:lvl>
    <w:lvl w:ilvl="5" w:tplc="0414001B" w:tentative="1">
      <w:start w:val="1"/>
      <w:numFmt w:val="lowerRoman"/>
      <w:lvlText w:val="%6."/>
      <w:lvlJc w:val="right"/>
      <w:pPr>
        <w:ind w:left="4536" w:hanging="180"/>
      </w:pPr>
    </w:lvl>
    <w:lvl w:ilvl="6" w:tplc="0414000F" w:tentative="1">
      <w:start w:val="1"/>
      <w:numFmt w:val="decimal"/>
      <w:lvlText w:val="%7."/>
      <w:lvlJc w:val="left"/>
      <w:pPr>
        <w:ind w:left="5256" w:hanging="360"/>
      </w:pPr>
    </w:lvl>
    <w:lvl w:ilvl="7" w:tplc="04140019" w:tentative="1">
      <w:start w:val="1"/>
      <w:numFmt w:val="lowerLetter"/>
      <w:lvlText w:val="%8."/>
      <w:lvlJc w:val="left"/>
      <w:pPr>
        <w:ind w:left="5976" w:hanging="360"/>
      </w:pPr>
    </w:lvl>
    <w:lvl w:ilvl="8" w:tplc="0414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2">
    <w:nsid w:val="20AF0333"/>
    <w:multiLevelType w:val="hybridMultilevel"/>
    <w:tmpl w:val="CB0E7F4E"/>
    <w:lvl w:ilvl="0" w:tplc="E09099E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FE1FCF"/>
    <w:multiLevelType w:val="hybridMultilevel"/>
    <w:tmpl w:val="33826962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7660336"/>
    <w:multiLevelType w:val="hybridMultilevel"/>
    <w:tmpl w:val="754EAC84"/>
    <w:lvl w:ilvl="0" w:tplc="C46877EA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E54FC6"/>
    <w:multiLevelType w:val="singleLevel"/>
    <w:tmpl w:val="5B7288D4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6">
    <w:nsid w:val="4189603E"/>
    <w:multiLevelType w:val="multilevel"/>
    <w:tmpl w:val="0AB06E12"/>
    <w:lvl w:ilvl="0">
      <w:start w:val="1"/>
      <w:numFmt w:val="upperRoman"/>
      <w:pStyle w:val="Heading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19">
    <w:nsid w:val="6C402C58"/>
    <w:multiLevelType w:val="hybridMultilevel"/>
    <w:tmpl w:val="9A1CA078"/>
    <w:lvl w:ilvl="0" w:tplc="C8D6570A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left"/>
      <w:pPr>
        <w:tabs>
          <w:tab w:val="num" w:pos="243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14"/>
  </w:num>
  <w:num w:numId="2">
    <w:abstractNumId w:val="19"/>
  </w:num>
  <w:num w:numId="3">
    <w:abstractNumId w:val="13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8"/>
  </w:num>
  <w:num w:numId="9">
    <w:abstractNumId w:val="20"/>
  </w:num>
  <w:num w:numId="10">
    <w:abstractNumId w:val="15"/>
  </w:num>
  <w:num w:numId="11">
    <w:abstractNumId w:val="12"/>
  </w:num>
  <w:num w:numId="12">
    <w:abstractNumId w:val="11"/>
  </w:num>
  <w:num w:numId="13">
    <w:abstractNumId w:val="0"/>
  </w:num>
  <w:num w:numId="14">
    <w:abstractNumId w:val="10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9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D9"/>
    <w:rsid w:val="00010978"/>
    <w:rsid w:val="0004781E"/>
    <w:rsid w:val="0008758A"/>
    <w:rsid w:val="00091236"/>
    <w:rsid w:val="000C00B2"/>
    <w:rsid w:val="000C0550"/>
    <w:rsid w:val="000C1E68"/>
    <w:rsid w:val="000E45A3"/>
    <w:rsid w:val="00112B74"/>
    <w:rsid w:val="001853FA"/>
    <w:rsid w:val="00191B27"/>
    <w:rsid w:val="001A22CB"/>
    <w:rsid w:val="001A2EFD"/>
    <w:rsid w:val="001A3B3D"/>
    <w:rsid w:val="001B2CF4"/>
    <w:rsid w:val="001B67DC"/>
    <w:rsid w:val="001D58D0"/>
    <w:rsid w:val="001E4C0E"/>
    <w:rsid w:val="002254A9"/>
    <w:rsid w:val="00233D97"/>
    <w:rsid w:val="002347A2"/>
    <w:rsid w:val="00243C3D"/>
    <w:rsid w:val="00253C8B"/>
    <w:rsid w:val="00271D8B"/>
    <w:rsid w:val="002850E3"/>
    <w:rsid w:val="00287FF4"/>
    <w:rsid w:val="00291FDB"/>
    <w:rsid w:val="002B2185"/>
    <w:rsid w:val="002B618E"/>
    <w:rsid w:val="002B7461"/>
    <w:rsid w:val="002B793B"/>
    <w:rsid w:val="002C5D1B"/>
    <w:rsid w:val="002D6ACB"/>
    <w:rsid w:val="00301FCF"/>
    <w:rsid w:val="003324C0"/>
    <w:rsid w:val="00333036"/>
    <w:rsid w:val="00343BBC"/>
    <w:rsid w:val="00354FCF"/>
    <w:rsid w:val="00355436"/>
    <w:rsid w:val="003658B8"/>
    <w:rsid w:val="00365EB6"/>
    <w:rsid w:val="00382406"/>
    <w:rsid w:val="00383384"/>
    <w:rsid w:val="00384C81"/>
    <w:rsid w:val="00394D5C"/>
    <w:rsid w:val="003A19E2"/>
    <w:rsid w:val="003A2BB4"/>
    <w:rsid w:val="003A644E"/>
    <w:rsid w:val="003B2B40"/>
    <w:rsid w:val="003B4E04"/>
    <w:rsid w:val="003D2DF2"/>
    <w:rsid w:val="003F5A08"/>
    <w:rsid w:val="00420716"/>
    <w:rsid w:val="004325FB"/>
    <w:rsid w:val="00434D19"/>
    <w:rsid w:val="004432BA"/>
    <w:rsid w:val="0044407E"/>
    <w:rsid w:val="00447BB9"/>
    <w:rsid w:val="0046031D"/>
    <w:rsid w:val="00462013"/>
    <w:rsid w:val="004728FA"/>
    <w:rsid w:val="00473AC9"/>
    <w:rsid w:val="00473BDE"/>
    <w:rsid w:val="004A036B"/>
    <w:rsid w:val="004B4363"/>
    <w:rsid w:val="004C667C"/>
    <w:rsid w:val="004C694C"/>
    <w:rsid w:val="004D3B09"/>
    <w:rsid w:val="004D72B5"/>
    <w:rsid w:val="004D7891"/>
    <w:rsid w:val="005156EC"/>
    <w:rsid w:val="00533F1D"/>
    <w:rsid w:val="00551B7F"/>
    <w:rsid w:val="00562210"/>
    <w:rsid w:val="0056610F"/>
    <w:rsid w:val="00570ECD"/>
    <w:rsid w:val="00575BCA"/>
    <w:rsid w:val="00583956"/>
    <w:rsid w:val="00590425"/>
    <w:rsid w:val="005B0344"/>
    <w:rsid w:val="005B520E"/>
    <w:rsid w:val="005C1C8B"/>
    <w:rsid w:val="005E2800"/>
    <w:rsid w:val="00605825"/>
    <w:rsid w:val="00620111"/>
    <w:rsid w:val="00622E49"/>
    <w:rsid w:val="006321EC"/>
    <w:rsid w:val="006423C3"/>
    <w:rsid w:val="00645D22"/>
    <w:rsid w:val="0064688F"/>
    <w:rsid w:val="00651A08"/>
    <w:rsid w:val="006521C1"/>
    <w:rsid w:val="00653862"/>
    <w:rsid w:val="00654204"/>
    <w:rsid w:val="00670434"/>
    <w:rsid w:val="00677B17"/>
    <w:rsid w:val="00687035"/>
    <w:rsid w:val="006946C9"/>
    <w:rsid w:val="00696FD9"/>
    <w:rsid w:val="006A29BB"/>
    <w:rsid w:val="006B6B66"/>
    <w:rsid w:val="006B7252"/>
    <w:rsid w:val="006C0C76"/>
    <w:rsid w:val="006C598B"/>
    <w:rsid w:val="006D0581"/>
    <w:rsid w:val="006F6D3D"/>
    <w:rsid w:val="007036D4"/>
    <w:rsid w:val="00715BEA"/>
    <w:rsid w:val="00740EEA"/>
    <w:rsid w:val="00752578"/>
    <w:rsid w:val="00794804"/>
    <w:rsid w:val="00797151"/>
    <w:rsid w:val="007B33F1"/>
    <w:rsid w:val="007B64DB"/>
    <w:rsid w:val="007B6DDA"/>
    <w:rsid w:val="007C0308"/>
    <w:rsid w:val="007C2FF2"/>
    <w:rsid w:val="007D528B"/>
    <w:rsid w:val="007D6232"/>
    <w:rsid w:val="007D696A"/>
    <w:rsid w:val="007F1F99"/>
    <w:rsid w:val="007F4931"/>
    <w:rsid w:val="007F768F"/>
    <w:rsid w:val="008048FF"/>
    <w:rsid w:val="0080791D"/>
    <w:rsid w:val="00831691"/>
    <w:rsid w:val="00836367"/>
    <w:rsid w:val="00844500"/>
    <w:rsid w:val="0085166E"/>
    <w:rsid w:val="008609AF"/>
    <w:rsid w:val="008617E6"/>
    <w:rsid w:val="00873603"/>
    <w:rsid w:val="00890A25"/>
    <w:rsid w:val="008A2C7D"/>
    <w:rsid w:val="008A7A92"/>
    <w:rsid w:val="008A7EA5"/>
    <w:rsid w:val="008B6524"/>
    <w:rsid w:val="008C4B23"/>
    <w:rsid w:val="008E3807"/>
    <w:rsid w:val="008F6E2C"/>
    <w:rsid w:val="00914BB6"/>
    <w:rsid w:val="00917A57"/>
    <w:rsid w:val="00923138"/>
    <w:rsid w:val="009303D9"/>
    <w:rsid w:val="00933C64"/>
    <w:rsid w:val="00945D68"/>
    <w:rsid w:val="00972203"/>
    <w:rsid w:val="009D11A9"/>
    <w:rsid w:val="009E669A"/>
    <w:rsid w:val="009F1D79"/>
    <w:rsid w:val="00A03E66"/>
    <w:rsid w:val="00A0572A"/>
    <w:rsid w:val="00A059B3"/>
    <w:rsid w:val="00A06EC7"/>
    <w:rsid w:val="00A25AAD"/>
    <w:rsid w:val="00A3357D"/>
    <w:rsid w:val="00A93B5D"/>
    <w:rsid w:val="00A96A7C"/>
    <w:rsid w:val="00AC41E9"/>
    <w:rsid w:val="00AE3409"/>
    <w:rsid w:val="00AE4FE3"/>
    <w:rsid w:val="00AF229B"/>
    <w:rsid w:val="00AF3CDF"/>
    <w:rsid w:val="00B00591"/>
    <w:rsid w:val="00B062E4"/>
    <w:rsid w:val="00B11A60"/>
    <w:rsid w:val="00B22613"/>
    <w:rsid w:val="00B421A9"/>
    <w:rsid w:val="00B44A76"/>
    <w:rsid w:val="00B55AAF"/>
    <w:rsid w:val="00B659EB"/>
    <w:rsid w:val="00B768D1"/>
    <w:rsid w:val="00BA1025"/>
    <w:rsid w:val="00BA13C6"/>
    <w:rsid w:val="00BA62E9"/>
    <w:rsid w:val="00BC3420"/>
    <w:rsid w:val="00BD670B"/>
    <w:rsid w:val="00BE7D3C"/>
    <w:rsid w:val="00BF5FF6"/>
    <w:rsid w:val="00C0207F"/>
    <w:rsid w:val="00C16117"/>
    <w:rsid w:val="00C3075A"/>
    <w:rsid w:val="00C919A4"/>
    <w:rsid w:val="00C952C5"/>
    <w:rsid w:val="00CA4392"/>
    <w:rsid w:val="00CC393F"/>
    <w:rsid w:val="00CD12A0"/>
    <w:rsid w:val="00D2176E"/>
    <w:rsid w:val="00D260F2"/>
    <w:rsid w:val="00D4747E"/>
    <w:rsid w:val="00D632BE"/>
    <w:rsid w:val="00D72D06"/>
    <w:rsid w:val="00D7522C"/>
    <w:rsid w:val="00D7536F"/>
    <w:rsid w:val="00D76668"/>
    <w:rsid w:val="00D817F1"/>
    <w:rsid w:val="00D90783"/>
    <w:rsid w:val="00DF5417"/>
    <w:rsid w:val="00DF73CB"/>
    <w:rsid w:val="00E07383"/>
    <w:rsid w:val="00E165BC"/>
    <w:rsid w:val="00E3777B"/>
    <w:rsid w:val="00E61E12"/>
    <w:rsid w:val="00E645C7"/>
    <w:rsid w:val="00E663A5"/>
    <w:rsid w:val="00E7596C"/>
    <w:rsid w:val="00E878F2"/>
    <w:rsid w:val="00ED0149"/>
    <w:rsid w:val="00ED5577"/>
    <w:rsid w:val="00EE7801"/>
    <w:rsid w:val="00EF7DE3"/>
    <w:rsid w:val="00F03103"/>
    <w:rsid w:val="00F101E4"/>
    <w:rsid w:val="00F271DE"/>
    <w:rsid w:val="00F4513F"/>
    <w:rsid w:val="00F627DA"/>
    <w:rsid w:val="00F63308"/>
    <w:rsid w:val="00F7288F"/>
    <w:rsid w:val="00F7388F"/>
    <w:rsid w:val="00F8081C"/>
    <w:rsid w:val="00F847A6"/>
    <w:rsid w:val="00F9441B"/>
    <w:rsid w:val="00FA4C32"/>
    <w:rsid w:val="00FB6DE2"/>
    <w:rsid w:val="00FC3F1A"/>
    <w:rsid w:val="00FD7A7A"/>
    <w:rsid w:val="00FE554C"/>
    <w:rsid w:val="00FE7114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/"/>
  <w:listSeparator w:val="؛"/>
  <w14:docId w14:val="3F199A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center"/>
    </w:pPr>
  </w:style>
  <w:style w:type="paragraph" w:styleId="Heading1">
    <w:name w:val="heading 1"/>
    <w:basedOn w:val="Normal"/>
    <w:next w:val="Normal"/>
    <w:qFormat/>
    <w:rsid w:val="006B6B66"/>
    <w:pPr>
      <w:keepNext/>
      <w:keepLines/>
      <w:numPr>
        <w:numId w:val="4"/>
      </w:numPr>
      <w:tabs>
        <w:tab w:val="left" w:pos="216"/>
      </w:tabs>
      <w:spacing w:before="160" w:after="80"/>
      <w:ind w:firstLine="0"/>
      <w:outlineLvl w:val="0"/>
    </w:pPr>
    <w:rPr>
      <w:smallCaps/>
      <w:noProof/>
    </w:rPr>
  </w:style>
  <w:style w:type="paragraph" w:styleId="Heading2">
    <w:name w:val="heading 2"/>
    <w:basedOn w:val="Normal"/>
    <w:next w:val="Normal"/>
    <w:qFormat/>
    <w:rsid w:val="00ED0149"/>
    <w:pPr>
      <w:keepNext/>
      <w:keepLines/>
      <w:numPr>
        <w:ilvl w:val="1"/>
        <w:numId w:val="4"/>
      </w:numPr>
      <w:spacing w:before="120" w:after="60"/>
      <w:jc w:val="left"/>
      <w:outlineLvl w:val="1"/>
    </w:pPr>
    <w:rPr>
      <w:i/>
      <w:iCs/>
      <w:noProof/>
    </w:rPr>
  </w:style>
  <w:style w:type="paragraph" w:styleId="Heading3">
    <w:name w:val="heading 3"/>
    <w:basedOn w:val="Normal"/>
    <w:next w:val="Normal"/>
    <w:qFormat/>
    <w:rsid w:val="00794804"/>
    <w:pPr>
      <w:numPr>
        <w:ilvl w:val="2"/>
        <w:numId w:val="4"/>
      </w:numPr>
      <w:spacing w:line="240" w:lineRule="exact"/>
      <w:ind w:firstLine="288"/>
      <w:jc w:val="both"/>
      <w:outlineLvl w:val="2"/>
    </w:pPr>
    <w:rPr>
      <w:i/>
      <w:iCs/>
      <w:noProof/>
    </w:rPr>
  </w:style>
  <w:style w:type="paragraph" w:styleId="Heading4">
    <w:name w:val="heading 4"/>
    <w:basedOn w:val="Normal"/>
    <w:next w:val="Normal"/>
    <w:qFormat/>
    <w:rsid w:val="00794804"/>
    <w:pPr>
      <w:numPr>
        <w:ilvl w:val="3"/>
        <w:numId w:val="4"/>
      </w:numPr>
      <w:tabs>
        <w:tab w:val="clear" w:pos="630"/>
        <w:tab w:val="left" w:pos="720"/>
      </w:tabs>
      <w:spacing w:before="40" w:after="40"/>
      <w:ind w:firstLine="504"/>
      <w:jc w:val="both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qFormat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rsid w:val="00972203"/>
    <w:pPr>
      <w:spacing w:after="200"/>
      <w:ind w:firstLine="272"/>
      <w:jc w:val="both"/>
    </w:pPr>
    <w:rPr>
      <w:b/>
      <w:bCs/>
      <w:sz w:val="18"/>
      <w:szCs w:val="18"/>
    </w:rPr>
  </w:style>
  <w:style w:type="paragraph" w:customStyle="1" w:styleId="Affiliation">
    <w:name w:val="Affiliation"/>
    <w:pPr>
      <w:jc w:val="center"/>
    </w:pPr>
  </w:style>
  <w:style w:type="paragraph" w:customStyle="1" w:styleId="Author">
    <w:name w:val="Author"/>
    <w:pPr>
      <w:spacing w:before="360" w:after="40"/>
      <w:jc w:val="center"/>
    </w:pPr>
    <w:rPr>
      <w:noProof/>
      <w:sz w:val="22"/>
      <w:szCs w:val="22"/>
    </w:rPr>
  </w:style>
  <w:style w:type="paragraph" w:styleId="BodyText">
    <w:name w:val="Body Text"/>
    <w:basedOn w:val="Normal"/>
    <w:link w:val="BodyTextChar"/>
    <w:rsid w:val="00E7596C"/>
    <w:pPr>
      <w:tabs>
        <w:tab w:val="left" w:pos="288"/>
      </w:tabs>
      <w:spacing w:after="120" w:line="228" w:lineRule="auto"/>
      <w:ind w:firstLine="288"/>
      <w:jc w:val="both"/>
    </w:pPr>
    <w:rPr>
      <w:spacing w:val="-1"/>
      <w:lang w:val="x-none" w:eastAsia="x-none"/>
    </w:rPr>
  </w:style>
  <w:style w:type="character" w:customStyle="1" w:styleId="BodyTextChar">
    <w:name w:val="Body Text Char"/>
    <w:link w:val="BodyText"/>
    <w:rsid w:val="00E7596C"/>
    <w:rPr>
      <w:spacing w:val="-1"/>
      <w:lang w:val="x-none" w:eastAsia="x-none"/>
    </w:rPr>
  </w:style>
  <w:style w:type="paragraph" w:customStyle="1" w:styleId="bulletlist">
    <w:name w:val="bullet list"/>
    <w:basedOn w:val="BodyText"/>
    <w:rsid w:val="001B67DC"/>
    <w:pPr>
      <w:numPr>
        <w:numId w:val="1"/>
      </w:numPr>
      <w:tabs>
        <w:tab w:val="clear" w:pos="648"/>
      </w:tabs>
      <w:ind w:left="576" w:hanging="288"/>
    </w:pPr>
  </w:style>
  <w:style w:type="paragraph" w:customStyle="1" w:styleId="equation">
    <w:name w:val="equation"/>
    <w:basedOn w:val="Normal"/>
    <w:rsid w:val="008A2C7D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5B0344"/>
    <w:pPr>
      <w:numPr>
        <w:numId w:val="2"/>
      </w:numPr>
      <w:tabs>
        <w:tab w:val="left" w:pos="533"/>
      </w:tabs>
      <w:spacing w:before="80" w:after="200"/>
      <w:ind w:left="0" w:firstLine="0"/>
      <w:jc w:val="both"/>
    </w:pPr>
    <w:rPr>
      <w:noProof/>
      <w:sz w:val="16"/>
      <w:szCs w:val="16"/>
    </w:rPr>
  </w:style>
  <w:style w:type="paragraph" w:customStyle="1" w:styleId="footnote">
    <w:name w:val="footnote"/>
    <w:pPr>
      <w:framePr w:hSpace="187" w:vSpace="187" w:wrap="notBeside" w:vAnchor="text" w:hAnchor="page" w:x="6121" w:y="577"/>
      <w:numPr>
        <w:numId w:val="3"/>
      </w:numPr>
      <w:spacing w:after="40"/>
    </w:pPr>
    <w:rPr>
      <w:sz w:val="16"/>
      <w:szCs w:val="16"/>
    </w:rPr>
  </w:style>
  <w:style w:type="paragraph" w:customStyle="1" w:styleId="papersubtitle">
    <w:name w:val="paper subtitle"/>
    <w:pPr>
      <w:spacing w:after="120"/>
      <w:jc w:val="center"/>
    </w:pPr>
    <w:rPr>
      <w:rFonts w:eastAsia="MS Mincho"/>
      <w:noProof/>
      <w:sz w:val="28"/>
      <w:szCs w:val="28"/>
    </w:rPr>
  </w:style>
  <w:style w:type="paragraph" w:customStyle="1" w:styleId="papertitle">
    <w:name w:val="paper title"/>
    <w:pPr>
      <w:spacing w:after="120"/>
      <w:jc w:val="center"/>
    </w:pPr>
    <w:rPr>
      <w:rFonts w:eastAsia="MS Mincho"/>
      <w:noProof/>
      <w:sz w:val="48"/>
      <w:szCs w:val="48"/>
    </w:rPr>
  </w:style>
  <w:style w:type="paragraph" w:customStyle="1" w:styleId="references">
    <w:name w:val="references"/>
    <w:pPr>
      <w:numPr>
        <w:numId w:val="8"/>
      </w:numPr>
      <w:spacing w:after="50" w:line="180" w:lineRule="exact"/>
      <w:jc w:val="both"/>
    </w:pPr>
    <w:rPr>
      <w:rFonts w:eastAsia="MS Mincho"/>
      <w:noProof/>
      <w:sz w:val="16"/>
      <w:szCs w:val="16"/>
    </w:rPr>
  </w:style>
  <w:style w:type="paragraph" w:customStyle="1" w:styleId="sponsors">
    <w:name w:val="sponsors"/>
    <w:pPr>
      <w:framePr w:wrap="auto" w:hAnchor="text" w:x="615" w:y="2239"/>
      <w:pBdr>
        <w:top w:val="single" w:sz="4" w:space="2" w:color="auto"/>
      </w:pBdr>
      <w:ind w:firstLine="288"/>
    </w:pPr>
    <w:rPr>
      <w:sz w:val="16"/>
      <w:szCs w:val="16"/>
    </w:rPr>
  </w:style>
  <w:style w:type="paragraph" w:customStyle="1" w:styleId="tablecolhead">
    <w:name w:val="table col head"/>
    <w:basedOn w:val="Normal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Pr>
      <w:i/>
      <w:iCs/>
      <w:sz w:val="15"/>
      <w:szCs w:val="15"/>
    </w:rPr>
  </w:style>
  <w:style w:type="paragraph" w:customStyle="1" w:styleId="tablecopy">
    <w:name w:val="table copy"/>
    <w:pPr>
      <w:jc w:val="both"/>
    </w:pPr>
    <w:rPr>
      <w:noProof/>
      <w:sz w:val="16"/>
      <w:szCs w:val="16"/>
    </w:rPr>
  </w:style>
  <w:style w:type="paragraph" w:customStyle="1" w:styleId="tablefootnote">
    <w:name w:val="table footnote"/>
    <w:rsid w:val="005E2800"/>
    <w:pPr>
      <w:numPr>
        <w:numId w:val="24"/>
      </w:numPr>
      <w:spacing w:before="60" w:after="30"/>
      <w:ind w:left="58" w:hanging="29"/>
      <w:jc w:val="right"/>
    </w:pPr>
    <w:rPr>
      <w:sz w:val="12"/>
      <w:szCs w:val="12"/>
    </w:rPr>
  </w:style>
  <w:style w:type="paragraph" w:customStyle="1" w:styleId="tablehead">
    <w:name w:val="table head"/>
    <w:pPr>
      <w:numPr>
        <w:numId w:val="9"/>
      </w:numPr>
      <w:spacing w:before="240" w:after="120" w:line="216" w:lineRule="auto"/>
      <w:jc w:val="center"/>
    </w:pPr>
    <w:rPr>
      <w:smallCaps/>
      <w:noProof/>
      <w:sz w:val="16"/>
      <w:szCs w:val="16"/>
    </w:rPr>
  </w:style>
  <w:style w:type="paragraph" w:customStyle="1" w:styleId="Keywords">
    <w:name w:val="Keywords"/>
    <w:basedOn w:val="Abstract"/>
    <w:qFormat/>
    <w:rsid w:val="00F9441B"/>
    <w:pPr>
      <w:spacing w:after="120"/>
      <w:ind w:firstLine="274"/>
    </w:pPr>
    <w:rPr>
      <w:i/>
    </w:rPr>
  </w:style>
  <w:style w:type="paragraph" w:styleId="Header">
    <w:name w:val="header"/>
    <w:basedOn w:val="Normal"/>
    <w:link w:val="HeaderChar"/>
    <w:uiPriority w:val="99"/>
    <w:rsid w:val="001A3B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B3D"/>
  </w:style>
  <w:style w:type="paragraph" w:styleId="Footer">
    <w:name w:val="footer"/>
    <w:basedOn w:val="Normal"/>
    <w:link w:val="FooterChar"/>
    <w:rsid w:val="001A3B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A3B3D"/>
  </w:style>
  <w:style w:type="paragraph" w:styleId="NormalWeb">
    <w:name w:val="Normal (Web)"/>
    <w:basedOn w:val="Normal"/>
    <w:uiPriority w:val="99"/>
    <w:unhideWhenUsed/>
    <w:rsid w:val="00253C8B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table" w:styleId="TableGrid">
    <w:name w:val="Table Grid"/>
    <w:basedOn w:val="TableNormal"/>
    <w:rsid w:val="003A2B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C667C"/>
    <w:rPr>
      <w:color w:val="808080"/>
    </w:rPr>
  </w:style>
  <w:style w:type="paragraph" w:styleId="FootnoteText">
    <w:name w:val="footnote text"/>
    <w:basedOn w:val="Normal"/>
    <w:link w:val="FootnoteTextChar"/>
    <w:rsid w:val="00FF34AA"/>
  </w:style>
  <w:style w:type="character" w:customStyle="1" w:styleId="FootnoteTextChar">
    <w:name w:val="Footnote Text Char"/>
    <w:basedOn w:val="DefaultParagraphFont"/>
    <w:link w:val="FootnoteText"/>
    <w:rsid w:val="00FF34AA"/>
  </w:style>
  <w:style w:type="character" w:styleId="FootnoteReference">
    <w:name w:val="footnote reference"/>
    <w:basedOn w:val="DefaultParagraphFont"/>
    <w:rsid w:val="00FF34A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00591"/>
    <w:rPr>
      <w:color w:val="0563C1" w:themeColor="hyperlink"/>
      <w:u w:val="single"/>
    </w:rPr>
  </w:style>
  <w:style w:type="character" w:customStyle="1" w:styleId="jlqj4b">
    <w:name w:val="jlqj4b"/>
    <w:basedOn w:val="DefaultParagraphFont"/>
    <w:rsid w:val="00B005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center"/>
    </w:pPr>
  </w:style>
  <w:style w:type="paragraph" w:styleId="Heading1">
    <w:name w:val="heading 1"/>
    <w:basedOn w:val="Normal"/>
    <w:next w:val="Normal"/>
    <w:qFormat/>
    <w:rsid w:val="006B6B66"/>
    <w:pPr>
      <w:keepNext/>
      <w:keepLines/>
      <w:numPr>
        <w:numId w:val="4"/>
      </w:numPr>
      <w:tabs>
        <w:tab w:val="left" w:pos="216"/>
      </w:tabs>
      <w:spacing w:before="160" w:after="80"/>
      <w:ind w:firstLine="0"/>
      <w:outlineLvl w:val="0"/>
    </w:pPr>
    <w:rPr>
      <w:smallCaps/>
      <w:noProof/>
    </w:rPr>
  </w:style>
  <w:style w:type="paragraph" w:styleId="Heading2">
    <w:name w:val="heading 2"/>
    <w:basedOn w:val="Normal"/>
    <w:next w:val="Normal"/>
    <w:qFormat/>
    <w:rsid w:val="00ED0149"/>
    <w:pPr>
      <w:keepNext/>
      <w:keepLines/>
      <w:numPr>
        <w:ilvl w:val="1"/>
        <w:numId w:val="4"/>
      </w:numPr>
      <w:spacing w:before="120" w:after="60"/>
      <w:jc w:val="left"/>
      <w:outlineLvl w:val="1"/>
    </w:pPr>
    <w:rPr>
      <w:i/>
      <w:iCs/>
      <w:noProof/>
    </w:rPr>
  </w:style>
  <w:style w:type="paragraph" w:styleId="Heading3">
    <w:name w:val="heading 3"/>
    <w:basedOn w:val="Normal"/>
    <w:next w:val="Normal"/>
    <w:qFormat/>
    <w:rsid w:val="00794804"/>
    <w:pPr>
      <w:numPr>
        <w:ilvl w:val="2"/>
        <w:numId w:val="4"/>
      </w:numPr>
      <w:spacing w:line="240" w:lineRule="exact"/>
      <w:ind w:firstLine="288"/>
      <w:jc w:val="both"/>
      <w:outlineLvl w:val="2"/>
    </w:pPr>
    <w:rPr>
      <w:i/>
      <w:iCs/>
      <w:noProof/>
    </w:rPr>
  </w:style>
  <w:style w:type="paragraph" w:styleId="Heading4">
    <w:name w:val="heading 4"/>
    <w:basedOn w:val="Normal"/>
    <w:next w:val="Normal"/>
    <w:qFormat/>
    <w:rsid w:val="00794804"/>
    <w:pPr>
      <w:numPr>
        <w:ilvl w:val="3"/>
        <w:numId w:val="4"/>
      </w:numPr>
      <w:tabs>
        <w:tab w:val="clear" w:pos="630"/>
        <w:tab w:val="left" w:pos="720"/>
      </w:tabs>
      <w:spacing w:before="40" w:after="40"/>
      <w:ind w:firstLine="504"/>
      <w:jc w:val="both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qFormat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rsid w:val="00972203"/>
    <w:pPr>
      <w:spacing w:after="200"/>
      <w:ind w:firstLine="272"/>
      <w:jc w:val="both"/>
    </w:pPr>
    <w:rPr>
      <w:b/>
      <w:bCs/>
      <w:sz w:val="18"/>
      <w:szCs w:val="18"/>
    </w:rPr>
  </w:style>
  <w:style w:type="paragraph" w:customStyle="1" w:styleId="Affiliation">
    <w:name w:val="Affiliation"/>
    <w:pPr>
      <w:jc w:val="center"/>
    </w:pPr>
  </w:style>
  <w:style w:type="paragraph" w:customStyle="1" w:styleId="Author">
    <w:name w:val="Author"/>
    <w:pPr>
      <w:spacing w:before="360" w:after="40"/>
      <w:jc w:val="center"/>
    </w:pPr>
    <w:rPr>
      <w:noProof/>
      <w:sz w:val="22"/>
      <w:szCs w:val="22"/>
    </w:rPr>
  </w:style>
  <w:style w:type="paragraph" w:styleId="BodyText">
    <w:name w:val="Body Text"/>
    <w:basedOn w:val="Normal"/>
    <w:link w:val="BodyTextChar"/>
    <w:rsid w:val="00E7596C"/>
    <w:pPr>
      <w:tabs>
        <w:tab w:val="left" w:pos="288"/>
      </w:tabs>
      <w:spacing w:after="120" w:line="228" w:lineRule="auto"/>
      <w:ind w:firstLine="288"/>
      <w:jc w:val="both"/>
    </w:pPr>
    <w:rPr>
      <w:spacing w:val="-1"/>
      <w:lang w:val="x-none" w:eastAsia="x-none"/>
    </w:rPr>
  </w:style>
  <w:style w:type="character" w:customStyle="1" w:styleId="BodyTextChar">
    <w:name w:val="Body Text Char"/>
    <w:link w:val="BodyText"/>
    <w:rsid w:val="00E7596C"/>
    <w:rPr>
      <w:spacing w:val="-1"/>
      <w:lang w:val="x-none" w:eastAsia="x-none"/>
    </w:rPr>
  </w:style>
  <w:style w:type="paragraph" w:customStyle="1" w:styleId="bulletlist">
    <w:name w:val="bullet list"/>
    <w:basedOn w:val="BodyText"/>
    <w:rsid w:val="001B67DC"/>
    <w:pPr>
      <w:numPr>
        <w:numId w:val="1"/>
      </w:numPr>
      <w:tabs>
        <w:tab w:val="clear" w:pos="648"/>
      </w:tabs>
      <w:ind w:left="576" w:hanging="288"/>
    </w:pPr>
  </w:style>
  <w:style w:type="paragraph" w:customStyle="1" w:styleId="equation">
    <w:name w:val="equation"/>
    <w:basedOn w:val="Normal"/>
    <w:rsid w:val="008A2C7D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5B0344"/>
    <w:pPr>
      <w:numPr>
        <w:numId w:val="2"/>
      </w:numPr>
      <w:tabs>
        <w:tab w:val="left" w:pos="533"/>
      </w:tabs>
      <w:spacing w:before="80" w:after="200"/>
      <w:ind w:left="0" w:firstLine="0"/>
      <w:jc w:val="both"/>
    </w:pPr>
    <w:rPr>
      <w:noProof/>
      <w:sz w:val="16"/>
      <w:szCs w:val="16"/>
    </w:rPr>
  </w:style>
  <w:style w:type="paragraph" w:customStyle="1" w:styleId="footnote">
    <w:name w:val="footnote"/>
    <w:pPr>
      <w:framePr w:hSpace="187" w:vSpace="187" w:wrap="notBeside" w:vAnchor="text" w:hAnchor="page" w:x="6121" w:y="577"/>
      <w:numPr>
        <w:numId w:val="3"/>
      </w:numPr>
      <w:spacing w:after="40"/>
    </w:pPr>
    <w:rPr>
      <w:sz w:val="16"/>
      <w:szCs w:val="16"/>
    </w:rPr>
  </w:style>
  <w:style w:type="paragraph" w:customStyle="1" w:styleId="papersubtitle">
    <w:name w:val="paper subtitle"/>
    <w:pPr>
      <w:spacing w:after="120"/>
      <w:jc w:val="center"/>
    </w:pPr>
    <w:rPr>
      <w:rFonts w:eastAsia="MS Mincho"/>
      <w:noProof/>
      <w:sz w:val="28"/>
      <w:szCs w:val="28"/>
    </w:rPr>
  </w:style>
  <w:style w:type="paragraph" w:customStyle="1" w:styleId="papertitle">
    <w:name w:val="paper title"/>
    <w:pPr>
      <w:spacing w:after="120"/>
      <w:jc w:val="center"/>
    </w:pPr>
    <w:rPr>
      <w:rFonts w:eastAsia="MS Mincho"/>
      <w:noProof/>
      <w:sz w:val="48"/>
      <w:szCs w:val="48"/>
    </w:rPr>
  </w:style>
  <w:style w:type="paragraph" w:customStyle="1" w:styleId="references">
    <w:name w:val="references"/>
    <w:pPr>
      <w:numPr>
        <w:numId w:val="8"/>
      </w:numPr>
      <w:spacing w:after="50" w:line="180" w:lineRule="exact"/>
      <w:jc w:val="both"/>
    </w:pPr>
    <w:rPr>
      <w:rFonts w:eastAsia="MS Mincho"/>
      <w:noProof/>
      <w:sz w:val="16"/>
      <w:szCs w:val="16"/>
    </w:rPr>
  </w:style>
  <w:style w:type="paragraph" w:customStyle="1" w:styleId="sponsors">
    <w:name w:val="sponsors"/>
    <w:pPr>
      <w:framePr w:wrap="auto" w:hAnchor="text" w:x="615" w:y="2239"/>
      <w:pBdr>
        <w:top w:val="single" w:sz="4" w:space="2" w:color="auto"/>
      </w:pBdr>
      <w:ind w:firstLine="288"/>
    </w:pPr>
    <w:rPr>
      <w:sz w:val="16"/>
      <w:szCs w:val="16"/>
    </w:rPr>
  </w:style>
  <w:style w:type="paragraph" w:customStyle="1" w:styleId="tablecolhead">
    <w:name w:val="table col head"/>
    <w:basedOn w:val="Normal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Pr>
      <w:i/>
      <w:iCs/>
      <w:sz w:val="15"/>
      <w:szCs w:val="15"/>
    </w:rPr>
  </w:style>
  <w:style w:type="paragraph" w:customStyle="1" w:styleId="tablecopy">
    <w:name w:val="table copy"/>
    <w:pPr>
      <w:jc w:val="both"/>
    </w:pPr>
    <w:rPr>
      <w:noProof/>
      <w:sz w:val="16"/>
      <w:szCs w:val="16"/>
    </w:rPr>
  </w:style>
  <w:style w:type="paragraph" w:customStyle="1" w:styleId="tablefootnote">
    <w:name w:val="table footnote"/>
    <w:rsid w:val="005E2800"/>
    <w:pPr>
      <w:numPr>
        <w:numId w:val="24"/>
      </w:numPr>
      <w:spacing w:before="60" w:after="30"/>
      <w:ind w:left="58" w:hanging="29"/>
      <w:jc w:val="right"/>
    </w:pPr>
    <w:rPr>
      <w:sz w:val="12"/>
      <w:szCs w:val="12"/>
    </w:rPr>
  </w:style>
  <w:style w:type="paragraph" w:customStyle="1" w:styleId="tablehead">
    <w:name w:val="table head"/>
    <w:pPr>
      <w:numPr>
        <w:numId w:val="9"/>
      </w:numPr>
      <w:spacing w:before="240" w:after="120" w:line="216" w:lineRule="auto"/>
      <w:jc w:val="center"/>
    </w:pPr>
    <w:rPr>
      <w:smallCaps/>
      <w:noProof/>
      <w:sz w:val="16"/>
      <w:szCs w:val="16"/>
    </w:rPr>
  </w:style>
  <w:style w:type="paragraph" w:customStyle="1" w:styleId="Keywords">
    <w:name w:val="Keywords"/>
    <w:basedOn w:val="Abstract"/>
    <w:qFormat/>
    <w:rsid w:val="00F9441B"/>
    <w:pPr>
      <w:spacing w:after="120"/>
      <w:ind w:firstLine="274"/>
    </w:pPr>
    <w:rPr>
      <w:i/>
    </w:rPr>
  </w:style>
  <w:style w:type="paragraph" w:styleId="Header">
    <w:name w:val="header"/>
    <w:basedOn w:val="Normal"/>
    <w:link w:val="HeaderChar"/>
    <w:uiPriority w:val="99"/>
    <w:rsid w:val="001A3B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B3D"/>
  </w:style>
  <w:style w:type="paragraph" w:styleId="Footer">
    <w:name w:val="footer"/>
    <w:basedOn w:val="Normal"/>
    <w:link w:val="FooterChar"/>
    <w:rsid w:val="001A3B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A3B3D"/>
  </w:style>
  <w:style w:type="paragraph" w:styleId="NormalWeb">
    <w:name w:val="Normal (Web)"/>
    <w:basedOn w:val="Normal"/>
    <w:uiPriority w:val="99"/>
    <w:unhideWhenUsed/>
    <w:rsid w:val="00253C8B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table" w:styleId="TableGrid">
    <w:name w:val="Table Grid"/>
    <w:basedOn w:val="TableNormal"/>
    <w:rsid w:val="003A2B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C667C"/>
    <w:rPr>
      <w:color w:val="808080"/>
    </w:rPr>
  </w:style>
  <w:style w:type="paragraph" w:styleId="FootnoteText">
    <w:name w:val="footnote text"/>
    <w:basedOn w:val="Normal"/>
    <w:link w:val="FootnoteTextChar"/>
    <w:rsid w:val="00FF34AA"/>
  </w:style>
  <w:style w:type="character" w:customStyle="1" w:styleId="FootnoteTextChar">
    <w:name w:val="Footnote Text Char"/>
    <w:basedOn w:val="DefaultParagraphFont"/>
    <w:link w:val="FootnoteText"/>
    <w:rsid w:val="00FF34AA"/>
  </w:style>
  <w:style w:type="character" w:styleId="FootnoteReference">
    <w:name w:val="footnote reference"/>
    <w:basedOn w:val="DefaultParagraphFont"/>
    <w:rsid w:val="00FF34A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00591"/>
    <w:rPr>
      <w:color w:val="0563C1" w:themeColor="hyperlink"/>
      <w:u w:val="single"/>
    </w:rPr>
  </w:style>
  <w:style w:type="character" w:customStyle="1" w:styleId="jlqj4b">
    <w:name w:val="jlqj4b"/>
    <w:basedOn w:val="DefaultParagraphFont"/>
    <w:rsid w:val="00B00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darpourshabnam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21416-544A-4DF4-AC5E-DF0940ABD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Title (use style: paper title)</vt:lpstr>
    </vt:vector>
  </TitlesOfParts>
  <Company>IEEE</Company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Title (use style: paper title)</dc:title>
  <dc:creator>IEEE</dc:creator>
  <cp:lastModifiedBy>Darya Rayaneh</cp:lastModifiedBy>
  <cp:revision>44</cp:revision>
  <cp:lastPrinted>2021-12-04T20:11:00Z</cp:lastPrinted>
  <dcterms:created xsi:type="dcterms:W3CDTF">2021-07-15T08:04:00Z</dcterms:created>
  <dcterms:modified xsi:type="dcterms:W3CDTF">2021-12-04T20:12:00Z</dcterms:modified>
</cp:coreProperties>
</file>