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1B5D6" w14:textId="53D8FF97" w:rsidR="000B615C" w:rsidRDefault="00C62E08" w:rsidP="00857F3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57F3F">
        <w:rPr>
          <w:rFonts w:asciiTheme="majorBidi" w:hAnsiTheme="majorBidi" w:cstheme="majorBidi"/>
          <w:b/>
          <w:bCs/>
          <w:sz w:val="32"/>
          <w:szCs w:val="32"/>
        </w:rPr>
        <w:t>LDL</w:t>
      </w:r>
      <w:r w:rsidR="00D24D76">
        <w:rPr>
          <w:rFonts w:asciiTheme="majorBidi" w:hAnsiTheme="majorBidi" w:cstheme="majorBidi"/>
          <w:b/>
          <w:bCs/>
          <w:sz w:val="32"/>
          <w:szCs w:val="32"/>
        </w:rPr>
        <w:t>-C</w:t>
      </w:r>
      <w:r w:rsidRPr="00857F3F">
        <w:rPr>
          <w:rFonts w:asciiTheme="majorBidi" w:hAnsiTheme="majorBidi" w:cstheme="majorBidi"/>
          <w:b/>
          <w:bCs/>
          <w:sz w:val="32"/>
          <w:szCs w:val="32"/>
        </w:rPr>
        <w:t xml:space="preserve"> level and long-</w:t>
      </w:r>
      <w:r w:rsidR="0015131F">
        <w:rPr>
          <w:rFonts w:asciiTheme="majorBidi" w:hAnsiTheme="majorBidi" w:cstheme="majorBidi"/>
          <w:b/>
          <w:bCs/>
          <w:sz w:val="32"/>
          <w:szCs w:val="32"/>
        </w:rPr>
        <w:t>t</w:t>
      </w:r>
      <w:r w:rsidR="0015131F" w:rsidRPr="00857F3F">
        <w:rPr>
          <w:rFonts w:asciiTheme="majorBidi" w:hAnsiTheme="majorBidi" w:cstheme="majorBidi"/>
          <w:b/>
          <w:bCs/>
          <w:sz w:val="32"/>
          <w:szCs w:val="32"/>
        </w:rPr>
        <w:t xml:space="preserve">erm </w:t>
      </w:r>
      <w:r w:rsidRPr="00857F3F">
        <w:rPr>
          <w:rFonts w:asciiTheme="majorBidi" w:hAnsiTheme="majorBidi" w:cstheme="majorBidi"/>
          <w:b/>
          <w:bCs/>
          <w:sz w:val="32"/>
          <w:szCs w:val="32"/>
        </w:rPr>
        <w:t xml:space="preserve">all-cause mortality after </w:t>
      </w:r>
      <w:r w:rsidR="0015131F">
        <w:rPr>
          <w:rFonts w:asciiTheme="majorBidi" w:hAnsiTheme="majorBidi" w:cstheme="majorBidi"/>
          <w:b/>
          <w:bCs/>
          <w:sz w:val="32"/>
          <w:szCs w:val="32"/>
        </w:rPr>
        <w:t>coronary revascularization</w:t>
      </w:r>
      <w:r w:rsidRPr="00857F3F">
        <w:rPr>
          <w:rFonts w:asciiTheme="majorBidi" w:hAnsiTheme="majorBidi" w:cstheme="majorBidi"/>
          <w:b/>
          <w:bCs/>
          <w:sz w:val="32"/>
          <w:szCs w:val="32"/>
        </w:rPr>
        <w:t xml:space="preserve">: Restricted cubic splines </w:t>
      </w:r>
      <w:r w:rsidR="00D24D76">
        <w:rPr>
          <w:rFonts w:asciiTheme="majorBidi" w:hAnsiTheme="majorBidi" w:cstheme="majorBidi"/>
          <w:b/>
          <w:bCs/>
          <w:sz w:val="32"/>
          <w:szCs w:val="32"/>
        </w:rPr>
        <w:t>method</w:t>
      </w:r>
    </w:p>
    <w:p w14:paraId="17A8F541" w14:textId="47D575FC" w:rsidR="0015131F" w:rsidRDefault="0015131F" w:rsidP="00857F3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631C274D" w14:textId="77777777" w:rsidR="0015131F" w:rsidRPr="00857F3F" w:rsidRDefault="0015131F" w:rsidP="00857F3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7C7493FA" w14:textId="0BFFB972" w:rsidR="00857F3F" w:rsidRDefault="00857F3F" w:rsidP="00857F3F">
      <w:pPr>
        <w:jc w:val="center"/>
        <w:rPr>
          <w:rFonts w:asciiTheme="majorBidi" w:hAnsiTheme="majorBidi" w:cstheme="majorBidi"/>
          <w:sz w:val="22"/>
          <w:szCs w:val="22"/>
          <w:lang w:bidi="fa-IR"/>
        </w:rPr>
      </w:pPr>
      <w:r w:rsidRPr="00857F3F">
        <w:rPr>
          <w:rFonts w:asciiTheme="majorBidi" w:hAnsiTheme="majorBidi" w:cstheme="majorBidi"/>
          <w:sz w:val="22"/>
          <w:szCs w:val="22"/>
          <w:lang w:bidi="fa-IR"/>
        </w:rPr>
        <w:t>Authors:</w:t>
      </w:r>
      <w:r w:rsidR="00BA71DF">
        <w:rPr>
          <w:rFonts w:asciiTheme="majorBidi" w:hAnsiTheme="majorBidi" w:cstheme="majorBidi"/>
          <w:sz w:val="22"/>
          <w:szCs w:val="22"/>
          <w:lang w:bidi="fa-IR"/>
        </w:rPr>
        <w:t xml:space="preserve"> Ali Sheikhy</w:t>
      </w:r>
      <w:r w:rsidR="00F33F32">
        <w:rPr>
          <w:rFonts w:asciiTheme="majorBidi" w:hAnsiTheme="majorBidi" w:cstheme="majorBidi"/>
          <w:sz w:val="22"/>
          <w:szCs w:val="22"/>
          <w:vertAlign w:val="superscript"/>
          <w:lang w:bidi="fa-IR"/>
        </w:rPr>
        <w:t>1,2</w:t>
      </w:r>
      <w:r w:rsidR="00BA71DF">
        <w:rPr>
          <w:rFonts w:asciiTheme="majorBidi" w:hAnsiTheme="majorBidi" w:cstheme="majorBidi"/>
          <w:sz w:val="22"/>
          <w:szCs w:val="22"/>
          <w:lang w:bidi="fa-IR"/>
        </w:rPr>
        <w:t>, Aida Fallahzadeh</w:t>
      </w:r>
      <w:r w:rsidR="00F33F32">
        <w:rPr>
          <w:rFonts w:asciiTheme="majorBidi" w:hAnsiTheme="majorBidi" w:cstheme="majorBidi"/>
          <w:sz w:val="22"/>
          <w:szCs w:val="22"/>
          <w:vertAlign w:val="superscript"/>
          <w:lang w:bidi="fa-IR"/>
        </w:rPr>
        <w:t>1,2</w:t>
      </w:r>
      <w:r w:rsidR="00BA71DF">
        <w:rPr>
          <w:rFonts w:asciiTheme="majorBidi" w:hAnsiTheme="majorBidi" w:cstheme="majorBidi"/>
          <w:sz w:val="22"/>
          <w:szCs w:val="22"/>
          <w:lang w:bidi="fa-IR"/>
        </w:rPr>
        <w:t>, Kaveh Hosseini</w:t>
      </w:r>
      <w:r w:rsidR="00F33F32">
        <w:rPr>
          <w:rFonts w:asciiTheme="majorBidi" w:hAnsiTheme="majorBidi" w:cstheme="majorBidi"/>
          <w:sz w:val="22"/>
          <w:szCs w:val="22"/>
          <w:vertAlign w:val="superscript"/>
          <w:lang w:bidi="fa-IR"/>
        </w:rPr>
        <w:t>1</w:t>
      </w:r>
      <w:r w:rsidR="00BA71DF">
        <w:rPr>
          <w:rFonts w:asciiTheme="majorBidi" w:hAnsiTheme="majorBidi" w:cstheme="majorBidi"/>
          <w:sz w:val="22"/>
          <w:szCs w:val="22"/>
          <w:lang w:bidi="fa-IR"/>
        </w:rPr>
        <w:t>*</w:t>
      </w:r>
    </w:p>
    <w:p w14:paraId="6C7A0DEC" w14:textId="77777777" w:rsidR="00A84BD6" w:rsidRPr="00857F3F" w:rsidRDefault="00A84BD6" w:rsidP="00857F3F">
      <w:pPr>
        <w:jc w:val="center"/>
        <w:rPr>
          <w:rFonts w:asciiTheme="majorBidi" w:hAnsiTheme="majorBidi" w:cstheme="majorBidi"/>
          <w:sz w:val="22"/>
          <w:szCs w:val="22"/>
          <w:lang w:bidi="fa-IR"/>
        </w:rPr>
      </w:pPr>
    </w:p>
    <w:p w14:paraId="37A60866" w14:textId="10E60F0B" w:rsidR="00F33F32" w:rsidRDefault="00F33F32" w:rsidP="00A84BD6">
      <w:pPr>
        <w:rPr>
          <w:rFonts w:asciiTheme="majorBidi" w:hAnsiTheme="majorBidi" w:cstheme="majorBidi"/>
          <w:sz w:val="22"/>
          <w:szCs w:val="22"/>
          <w:lang w:bidi="fa-IR"/>
        </w:rPr>
      </w:pPr>
      <w:r>
        <w:rPr>
          <w:rFonts w:asciiTheme="majorBidi" w:hAnsiTheme="majorBidi" w:cstheme="majorBidi"/>
          <w:sz w:val="22"/>
          <w:szCs w:val="22"/>
          <w:lang w:bidi="fa-IR"/>
        </w:rPr>
        <w:t>1.</w:t>
      </w:r>
      <w:r w:rsidR="00A84BD6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="00A84BD6" w:rsidRPr="00A84BD6">
        <w:rPr>
          <w:rFonts w:asciiTheme="majorBidi" w:hAnsiTheme="majorBidi" w:cstheme="majorBidi"/>
          <w:sz w:val="22"/>
          <w:szCs w:val="22"/>
          <w:lang w:bidi="fa-IR"/>
        </w:rPr>
        <w:t>Tehran Heart Center, Tehran University of Medical Sciences, Tehran, Iran</w:t>
      </w:r>
    </w:p>
    <w:p w14:paraId="1F7AFAD6" w14:textId="217509D4" w:rsidR="00F33F32" w:rsidRDefault="00F33F32" w:rsidP="00A84BD6">
      <w:pPr>
        <w:rPr>
          <w:rFonts w:asciiTheme="majorBidi" w:hAnsiTheme="majorBidi" w:cstheme="majorBidi"/>
          <w:sz w:val="22"/>
          <w:szCs w:val="22"/>
          <w:lang w:bidi="fa-IR"/>
        </w:rPr>
      </w:pPr>
      <w:r>
        <w:rPr>
          <w:rFonts w:asciiTheme="majorBidi" w:hAnsiTheme="majorBidi" w:cstheme="majorBidi"/>
          <w:sz w:val="22"/>
          <w:szCs w:val="22"/>
          <w:lang w:bidi="fa-IR"/>
        </w:rPr>
        <w:t>2.</w:t>
      </w:r>
      <w:r w:rsidR="00A84BD6" w:rsidRPr="00A84BD6">
        <w:t xml:space="preserve"> </w:t>
      </w:r>
      <w:r w:rsidR="00A84BD6" w:rsidRPr="00A84BD6">
        <w:rPr>
          <w:rFonts w:asciiTheme="majorBidi" w:hAnsiTheme="majorBidi" w:cstheme="majorBidi"/>
          <w:sz w:val="22"/>
          <w:szCs w:val="22"/>
          <w:lang w:bidi="fa-IR"/>
        </w:rPr>
        <w:t>Non-Communicable Disease Research Center, Endocrinology and Metabolism Population Sciences Institute, Tehran University of Medical Sciences, Tehran, Iran</w:t>
      </w:r>
    </w:p>
    <w:p w14:paraId="2206BD7E" w14:textId="77A05C71" w:rsidR="00A84BD6" w:rsidRDefault="00A84BD6" w:rsidP="00A84BD6">
      <w:pPr>
        <w:rPr>
          <w:rFonts w:asciiTheme="majorBidi" w:hAnsiTheme="majorBidi" w:cstheme="majorBidi"/>
          <w:sz w:val="22"/>
          <w:szCs w:val="22"/>
          <w:lang w:bidi="fa-IR"/>
        </w:rPr>
      </w:pPr>
    </w:p>
    <w:p w14:paraId="5E075ACD" w14:textId="77777777" w:rsidR="00A84BD6" w:rsidRPr="00857F3F" w:rsidRDefault="00A84BD6" w:rsidP="00A84BD6">
      <w:pPr>
        <w:rPr>
          <w:rFonts w:asciiTheme="majorBidi" w:hAnsiTheme="majorBidi" w:cstheme="majorBidi"/>
          <w:sz w:val="22"/>
          <w:szCs w:val="22"/>
          <w:lang w:bidi="fa-IR"/>
        </w:rPr>
      </w:pPr>
    </w:p>
    <w:p w14:paraId="78EDC09D" w14:textId="30F6F8F5" w:rsidR="00857F3F" w:rsidRDefault="00857F3F" w:rsidP="00857F3F">
      <w:pPr>
        <w:jc w:val="center"/>
        <w:rPr>
          <w:rFonts w:asciiTheme="majorBidi" w:hAnsiTheme="majorBidi" w:cstheme="majorBidi"/>
          <w:b/>
          <w:bCs/>
          <w:sz w:val="22"/>
          <w:szCs w:val="22"/>
          <w:lang w:bidi="fa-IR"/>
        </w:rPr>
      </w:pPr>
      <w:r w:rsidRPr="00857F3F">
        <w:rPr>
          <w:rFonts w:asciiTheme="majorBidi" w:hAnsiTheme="majorBidi" w:cstheme="majorBidi"/>
          <w:b/>
          <w:bCs/>
          <w:sz w:val="22"/>
          <w:szCs w:val="22"/>
          <w:lang w:bidi="fa-IR"/>
        </w:rPr>
        <w:t>* Corresponding author:</w:t>
      </w:r>
      <w:r w:rsidR="00BA71DF">
        <w:rPr>
          <w:rFonts w:asciiTheme="majorBidi" w:hAnsiTheme="majorBidi" w:cstheme="majorBidi"/>
          <w:b/>
          <w:bCs/>
          <w:sz w:val="22"/>
          <w:szCs w:val="22"/>
          <w:lang w:bidi="fa-IR"/>
        </w:rPr>
        <w:t xml:space="preserve"> </w:t>
      </w:r>
      <w:r w:rsidR="00BA71DF" w:rsidRPr="00BA71DF">
        <w:rPr>
          <w:rFonts w:asciiTheme="majorBidi" w:hAnsiTheme="majorBidi" w:cstheme="majorBidi"/>
          <w:b/>
          <w:bCs/>
          <w:sz w:val="22"/>
          <w:szCs w:val="22"/>
          <w:lang w:bidi="fa-IR"/>
        </w:rPr>
        <w:t>Kaveh Hosseini</w:t>
      </w:r>
      <w:r w:rsidR="00D66954">
        <w:rPr>
          <w:rFonts w:asciiTheme="majorBidi" w:hAnsiTheme="majorBidi" w:cstheme="majorBidi"/>
          <w:b/>
          <w:bCs/>
          <w:sz w:val="22"/>
          <w:szCs w:val="22"/>
          <w:lang w:bidi="fa-IR"/>
        </w:rPr>
        <w:t xml:space="preserve"> MD-MPH</w:t>
      </w:r>
    </w:p>
    <w:p w14:paraId="46EFB898" w14:textId="758973A9" w:rsidR="0015131F" w:rsidRDefault="0015131F" w:rsidP="00857F3F">
      <w:pPr>
        <w:jc w:val="center"/>
        <w:rPr>
          <w:rFonts w:asciiTheme="majorBidi" w:hAnsiTheme="majorBidi" w:cstheme="majorBidi"/>
          <w:b/>
          <w:bCs/>
          <w:sz w:val="22"/>
          <w:szCs w:val="22"/>
          <w:lang w:bidi="fa-IR"/>
        </w:rPr>
      </w:pPr>
    </w:p>
    <w:p w14:paraId="35270F6F" w14:textId="77777777" w:rsidR="0015131F" w:rsidRPr="00857F3F" w:rsidRDefault="0015131F" w:rsidP="00857F3F">
      <w:pPr>
        <w:jc w:val="center"/>
        <w:rPr>
          <w:rFonts w:asciiTheme="majorBidi" w:hAnsiTheme="majorBidi" w:cstheme="majorBidi"/>
          <w:b/>
          <w:bCs/>
          <w:sz w:val="22"/>
          <w:szCs w:val="22"/>
          <w:lang w:bidi="fa-IR"/>
        </w:rPr>
      </w:pPr>
    </w:p>
    <w:p w14:paraId="331310BA" w14:textId="3687E4AD" w:rsidR="00857F3F" w:rsidRDefault="00857F3F" w:rsidP="00857F3F">
      <w:pPr>
        <w:spacing w:line="360" w:lineRule="auto"/>
        <w:jc w:val="both"/>
        <w:rPr>
          <w:rFonts w:asciiTheme="majorBidi" w:hAnsiTheme="majorBidi" w:cstheme="majorBidi"/>
          <w:b/>
          <w:bCs/>
          <w:lang w:bidi="fa-IR"/>
        </w:rPr>
      </w:pPr>
      <w:r w:rsidRPr="00857F3F">
        <w:rPr>
          <w:rFonts w:asciiTheme="majorBidi" w:hAnsiTheme="majorBidi" w:cstheme="majorBidi"/>
          <w:b/>
          <w:bCs/>
          <w:lang w:bidi="fa-IR"/>
        </w:rPr>
        <w:t>Abstract</w:t>
      </w:r>
    </w:p>
    <w:p w14:paraId="165C820A" w14:textId="77777777" w:rsidR="0015131F" w:rsidRPr="00857F3F" w:rsidRDefault="0015131F" w:rsidP="00857F3F">
      <w:pPr>
        <w:spacing w:line="360" w:lineRule="auto"/>
        <w:jc w:val="both"/>
        <w:rPr>
          <w:rFonts w:asciiTheme="majorBidi" w:hAnsiTheme="majorBidi" w:cstheme="majorBidi"/>
          <w:b/>
          <w:bCs/>
          <w:lang w:bidi="fa-IR"/>
        </w:rPr>
      </w:pPr>
    </w:p>
    <w:p w14:paraId="4AC31E16" w14:textId="55065E3C" w:rsidR="00857F3F" w:rsidRDefault="0082743E" w:rsidP="00856045">
      <w:pPr>
        <w:spacing w:line="360" w:lineRule="auto"/>
        <w:jc w:val="both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 xml:space="preserve">Although high </w:t>
      </w:r>
      <w:r w:rsidR="00857F3F">
        <w:rPr>
          <w:rFonts w:asciiTheme="majorBidi" w:hAnsiTheme="majorBidi" w:cstheme="majorBidi"/>
          <w:lang w:bidi="fa-IR"/>
        </w:rPr>
        <w:t>LDL</w:t>
      </w:r>
      <w:r w:rsidR="0015131F">
        <w:rPr>
          <w:rFonts w:asciiTheme="majorBidi" w:hAnsiTheme="majorBidi" w:cstheme="majorBidi"/>
          <w:lang w:bidi="fa-IR"/>
        </w:rPr>
        <w:t>-C</w:t>
      </w:r>
      <w:r w:rsidR="004B2D85">
        <w:rPr>
          <w:rFonts w:asciiTheme="majorBidi" w:hAnsiTheme="majorBidi" w:cstheme="majorBidi"/>
          <w:lang w:bidi="fa-IR"/>
        </w:rPr>
        <w:t xml:space="preserve"> </w:t>
      </w:r>
      <w:r w:rsidR="00857F3F">
        <w:rPr>
          <w:rFonts w:asciiTheme="majorBidi" w:hAnsiTheme="majorBidi" w:cstheme="majorBidi"/>
          <w:lang w:bidi="fa-IR"/>
        </w:rPr>
        <w:t xml:space="preserve">is </w:t>
      </w:r>
      <w:r w:rsidR="00857F3F" w:rsidRPr="00857F3F">
        <w:rPr>
          <w:rFonts w:asciiTheme="majorBidi" w:hAnsiTheme="majorBidi" w:cstheme="majorBidi"/>
          <w:lang w:bidi="fa-IR"/>
        </w:rPr>
        <w:t>a valuable indicator</w:t>
      </w:r>
      <w:r>
        <w:rPr>
          <w:rFonts w:asciiTheme="majorBidi" w:hAnsiTheme="majorBidi" w:cstheme="majorBidi"/>
          <w:lang w:bidi="fa-IR"/>
        </w:rPr>
        <w:t xml:space="preserve"> of adverse cardiovascular outcome</w:t>
      </w:r>
      <w:r w:rsidR="00857F3F" w:rsidRPr="00857F3F">
        <w:rPr>
          <w:rFonts w:asciiTheme="majorBidi" w:hAnsiTheme="majorBidi" w:cstheme="majorBidi"/>
          <w:lang w:bidi="fa-IR"/>
        </w:rPr>
        <w:t xml:space="preserve">, the associations of </w:t>
      </w:r>
      <w:r w:rsidR="00857F3F">
        <w:rPr>
          <w:rFonts w:asciiTheme="majorBidi" w:hAnsiTheme="majorBidi" w:cstheme="majorBidi"/>
          <w:lang w:bidi="fa-IR"/>
        </w:rPr>
        <w:t>LDL</w:t>
      </w:r>
      <w:r>
        <w:rPr>
          <w:rFonts w:asciiTheme="majorBidi" w:hAnsiTheme="majorBidi" w:cstheme="majorBidi"/>
          <w:lang w:bidi="fa-IR"/>
        </w:rPr>
        <w:t>-C</w:t>
      </w:r>
      <w:r w:rsidR="00857F3F" w:rsidRPr="00857F3F">
        <w:rPr>
          <w:rFonts w:asciiTheme="majorBidi" w:hAnsiTheme="majorBidi" w:cstheme="majorBidi"/>
          <w:lang w:bidi="fa-IR"/>
        </w:rPr>
        <w:t xml:space="preserve"> with </w:t>
      </w:r>
      <w:r>
        <w:rPr>
          <w:rFonts w:asciiTheme="majorBidi" w:hAnsiTheme="majorBidi" w:cstheme="majorBidi"/>
          <w:lang w:bidi="fa-IR"/>
        </w:rPr>
        <w:t>long term mortality</w:t>
      </w:r>
      <w:r w:rsidR="0015131F">
        <w:rPr>
          <w:rFonts w:asciiTheme="majorBidi" w:hAnsiTheme="majorBidi" w:cstheme="majorBidi"/>
          <w:lang w:bidi="fa-IR"/>
        </w:rPr>
        <w:t xml:space="preserve"> </w:t>
      </w:r>
      <w:r w:rsidR="00857F3F" w:rsidRPr="00857F3F">
        <w:rPr>
          <w:rFonts w:asciiTheme="majorBidi" w:hAnsiTheme="majorBidi" w:cstheme="majorBidi"/>
          <w:lang w:bidi="fa-IR"/>
        </w:rPr>
        <w:t xml:space="preserve">in </w:t>
      </w:r>
      <w:r w:rsidR="00857F3F">
        <w:rPr>
          <w:rFonts w:asciiTheme="majorBidi" w:hAnsiTheme="majorBidi" w:cstheme="majorBidi"/>
          <w:lang w:bidi="fa-IR"/>
        </w:rPr>
        <w:t xml:space="preserve">patients </w:t>
      </w:r>
      <w:r w:rsidR="0015131F">
        <w:rPr>
          <w:rFonts w:asciiTheme="majorBidi" w:hAnsiTheme="majorBidi" w:cstheme="majorBidi"/>
          <w:lang w:bidi="fa-IR"/>
        </w:rPr>
        <w:t>who undergo coronary artery bypass graft (</w:t>
      </w:r>
      <w:r w:rsidR="00857F3F">
        <w:rPr>
          <w:rFonts w:asciiTheme="majorBidi" w:hAnsiTheme="majorBidi" w:cstheme="majorBidi"/>
          <w:lang w:bidi="fa-IR"/>
        </w:rPr>
        <w:t>CABG</w:t>
      </w:r>
      <w:r w:rsidR="0015131F">
        <w:rPr>
          <w:rFonts w:asciiTheme="majorBidi" w:hAnsiTheme="majorBidi" w:cstheme="majorBidi"/>
          <w:lang w:bidi="fa-IR"/>
        </w:rPr>
        <w:t>) surgery is</w:t>
      </w:r>
      <w:r w:rsidR="00857F3F" w:rsidRPr="00857F3F">
        <w:rPr>
          <w:rFonts w:asciiTheme="majorBidi" w:hAnsiTheme="majorBidi" w:cstheme="majorBidi"/>
          <w:lang w:bidi="fa-IR"/>
        </w:rPr>
        <w:t xml:space="preserve"> </w:t>
      </w:r>
      <w:r w:rsidR="0015131F">
        <w:rPr>
          <w:rFonts w:asciiTheme="majorBidi" w:hAnsiTheme="majorBidi" w:cstheme="majorBidi"/>
          <w:lang w:bidi="fa-IR"/>
        </w:rPr>
        <w:t>still up-in-the-air</w:t>
      </w:r>
      <w:r w:rsidR="00857F3F" w:rsidRPr="00857F3F">
        <w:rPr>
          <w:rFonts w:asciiTheme="majorBidi" w:hAnsiTheme="majorBidi" w:cstheme="majorBidi"/>
          <w:lang w:bidi="fa-IR"/>
        </w:rPr>
        <w:t>.</w:t>
      </w:r>
      <w:r w:rsidR="00857F3F">
        <w:rPr>
          <w:rFonts w:asciiTheme="majorBidi" w:hAnsiTheme="majorBidi" w:cstheme="majorBidi"/>
          <w:lang w:bidi="fa-IR"/>
        </w:rPr>
        <w:t xml:space="preserve"> </w:t>
      </w:r>
    </w:p>
    <w:p w14:paraId="47CFB6A5" w14:textId="3A08D1B8" w:rsidR="00857F3F" w:rsidRDefault="00857F3F" w:rsidP="00662396">
      <w:pPr>
        <w:spacing w:line="360" w:lineRule="auto"/>
        <w:jc w:val="both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Tehran heart center</w:t>
      </w:r>
      <w:r w:rsidR="0015131F">
        <w:rPr>
          <w:rFonts w:asciiTheme="majorBidi" w:hAnsiTheme="majorBidi" w:cstheme="majorBidi"/>
          <w:lang w:bidi="fa-IR"/>
        </w:rPr>
        <w:t xml:space="preserve"> (THC)</w:t>
      </w:r>
      <w:r>
        <w:rPr>
          <w:rFonts w:asciiTheme="majorBidi" w:hAnsiTheme="majorBidi" w:cstheme="majorBidi"/>
          <w:lang w:bidi="fa-IR"/>
        </w:rPr>
        <w:t xml:space="preserve"> CABG database registry was lunched in 2004. All data recorded prospectively at the time of </w:t>
      </w:r>
      <w:r w:rsidR="0015131F">
        <w:rPr>
          <w:rFonts w:asciiTheme="majorBidi" w:hAnsiTheme="majorBidi" w:cstheme="majorBidi"/>
          <w:lang w:bidi="fa-IR"/>
        </w:rPr>
        <w:t xml:space="preserve">admission. In </w:t>
      </w:r>
      <w:r>
        <w:rPr>
          <w:rFonts w:asciiTheme="majorBidi" w:hAnsiTheme="majorBidi" w:cstheme="majorBidi"/>
          <w:lang w:bidi="fa-IR"/>
        </w:rPr>
        <w:t xml:space="preserve">this </w:t>
      </w:r>
      <w:r w:rsidR="00856045">
        <w:rPr>
          <w:rFonts w:asciiTheme="majorBidi" w:hAnsiTheme="majorBidi" w:cstheme="majorBidi"/>
          <w:lang w:bidi="fa-IR"/>
        </w:rPr>
        <w:t xml:space="preserve">study, we included all patients </w:t>
      </w:r>
      <w:r w:rsidR="0015131F">
        <w:rPr>
          <w:rFonts w:asciiTheme="majorBidi" w:hAnsiTheme="majorBidi" w:cstheme="majorBidi"/>
          <w:lang w:bidi="fa-IR"/>
        </w:rPr>
        <w:t>who</w:t>
      </w:r>
      <w:r w:rsidR="00856045">
        <w:rPr>
          <w:rFonts w:asciiTheme="majorBidi" w:hAnsiTheme="majorBidi" w:cstheme="majorBidi"/>
          <w:lang w:bidi="fa-IR"/>
        </w:rPr>
        <w:t xml:space="preserve"> underwent isolated CABG procedure. All patients with lack of data and missing LDL </w:t>
      </w:r>
      <w:r w:rsidR="00047748">
        <w:rPr>
          <w:rFonts w:asciiTheme="majorBidi" w:hAnsiTheme="majorBidi" w:cstheme="majorBidi"/>
          <w:lang w:bidi="fa-IR"/>
        </w:rPr>
        <w:t xml:space="preserve">were excluded from the analysis. Conclusively, a total </w:t>
      </w:r>
      <w:r w:rsidR="00FB7129">
        <w:rPr>
          <w:rFonts w:asciiTheme="majorBidi" w:hAnsiTheme="majorBidi" w:cstheme="majorBidi"/>
          <w:lang w:bidi="fa-IR"/>
        </w:rPr>
        <w:t>of 17,555</w:t>
      </w:r>
      <w:r w:rsidR="00047748">
        <w:rPr>
          <w:rFonts w:asciiTheme="majorBidi" w:hAnsiTheme="majorBidi" w:cstheme="majorBidi"/>
          <w:lang w:bidi="fa-IR"/>
        </w:rPr>
        <w:t xml:space="preserve"> patients with adequate data (all variables included had lower than 5% missing) entered the final analysis.</w:t>
      </w:r>
      <w:r w:rsidR="00F32FFE">
        <w:rPr>
          <w:rFonts w:asciiTheme="majorBidi" w:hAnsiTheme="majorBidi" w:cstheme="majorBidi"/>
          <w:lang w:bidi="fa-IR"/>
        </w:rPr>
        <w:t xml:space="preserve"> The median follow-up was76.78 months [75.87- 77.69], which calculated through “reverse Kaplan-Meier” method.</w:t>
      </w:r>
      <w:r w:rsidR="00047748">
        <w:rPr>
          <w:rFonts w:asciiTheme="majorBidi" w:hAnsiTheme="majorBidi" w:cstheme="majorBidi"/>
          <w:lang w:bidi="fa-IR"/>
        </w:rPr>
        <w:t xml:space="preserve"> </w:t>
      </w:r>
      <w:r w:rsidR="00FB7129">
        <w:rPr>
          <w:rFonts w:asciiTheme="majorBidi" w:hAnsiTheme="majorBidi" w:cstheme="majorBidi"/>
          <w:lang w:bidi="fa-IR"/>
        </w:rPr>
        <w:t>To reveal the relationship between LDL</w:t>
      </w:r>
      <w:r w:rsidR="0015131F">
        <w:rPr>
          <w:rFonts w:asciiTheme="majorBidi" w:hAnsiTheme="majorBidi" w:cstheme="majorBidi"/>
          <w:lang w:bidi="fa-IR"/>
        </w:rPr>
        <w:t>-C</w:t>
      </w:r>
      <w:r w:rsidR="00FB7129">
        <w:rPr>
          <w:rFonts w:asciiTheme="majorBidi" w:hAnsiTheme="majorBidi" w:cstheme="majorBidi"/>
          <w:lang w:bidi="fa-IR"/>
        </w:rPr>
        <w:t xml:space="preserve"> and mortality, </w:t>
      </w:r>
      <w:r w:rsidR="00FB7129" w:rsidRPr="004B2D85">
        <w:rPr>
          <w:rFonts w:asciiTheme="majorBidi" w:hAnsiTheme="majorBidi" w:cstheme="majorBidi"/>
          <w:b/>
          <w:bCs/>
          <w:color w:val="000000" w:themeColor="text1"/>
          <w:lang w:bidi="fa-IR"/>
        </w:rPr>
        <w:t>restricted cubic spline</w:t>
      </w:r>
      <w:r w:rsidR="0015131F">
        <w:rPr>
          <w:rFonts w:asciiTheme="majorBidi" w:hAnsiTheme="majorBidi" w:cstheme="majorBidi"/>
          <w:lang w:bidi="fa-IR"/>
        </w:rPr>
        <w:t xml:space="preserve"> method</w:t>
      </w:r>
      <w:r w:rsidR="00FB7129" w:rsidRPr="0015131F">
        <w:rPr>
          <w:rFonts w:asciiTheme="majorBidi" w:hAnsiTheme="majorBidi" w:cstheme="majorBidi"/>
          <w:lang w:bidi="fa-IR"/>
        </w:rPr>
        <w:t xml:space="preserve"> </w:t>
      </w:r>
      <w:r w:rsidR="00FB7129">
        <w:rPr>
          <w:rFonts w:asciiTheme="majorBidi" w:hAnsiTheme="majorBidi" w:cstheme="majorBidi"/>
          <w:lang w:bidi="fa-IR"/>
        </w:rPr>
        <w:t xml:space="preserve">was applied. </w:t>
      </w:r>
      <w:r w:rsidR="00651236" w:rsidRPr="00651236">
        <w:rPr>
          <w:rFonts w:asciiTheme="majorBidi" w:hAnsiTheme="majorBidi" w:cstheme="majorBidi"/>
          <w:lang w:bidi="fa-IR"/>
        </w:rPr>
        <w:t xml:space="preserve">We used the </w:t>
      </w:r>
      <w:r w:rsidR="00651236">
        <w:rPr>
          <w:rFonts w:asciiTheme="majorBidi" w:hAnsiTheme="majorBidi" w:cstheme="majorBidi"/>
          <w:lang w:bidi="fa-IR"/>
        </w:rPr>
        <w:t>“</w:t>
      </w:r>
      <w:r w:rsidR="00651236" w:rsidRPr="00651236">
        <w:rPr>
          <w:rFonts w:asciiTheme="majorBidi" w:hAnsiTheme="majorBidi" w:cstheme="majorBidi"/>
          <w:lang w:bidi="fa-IR"/>
        </w:rPr>
        <w:t>dfmacox</w:t>
      </w:r>
      <w:r w:rsidR="00651236">
        <w:rPr>
          <w:rFonts w:asciiTheme="majorBidi" w:hAnsiTheme="majorBidi" w:cstheme="majorBidi"/>
          <w:lang w:bidi="fa-IR"/>
        </w:rPr>
        <w:t>”</w:t>
      </w:r>
      <w:r w:rsidR="00651236" w:rsidRPr="00651236">
        <w:rPr>
          <w:rFonts w:asciiTheme="majorBidi" w:hAnsiTheme="majorBidi" w:cstheme="majorBidi"/>
          <w:lang w:bidi="fa-IR"/>
        </w:rPr>
        <w:t xml:space="preserve"> (degrees of freedom in multivariate additive Cox models) function in smoothHR</w:t>
      </w:r>
      <w:r w:rsidR="0070169A">
        <w:rPr>
          <w:rFonts w:asciiTheme="majorBidi" w:hAnsiTheme="majorBidi" w:cstheme="majorBidi"/>
          <w:lang w:bidi="fa-IR"/>
        </w:rPr>
        <w:t xml:space="preserve"> based on c</w:t>
      </w:r>
      <w:r w:rsidR="0070169A" w:rsidRPr="0070169A">
        <w:rPr>
          <w:rFonts w:asciiTheme="majorBidi" w:hAnsiTheme="majorBidi" w:cstheme="majorBidi"/>
          <w:lang w:bidi="fa-IR"/>
        </w:rPr>
        <w:t>orrected Akaike information criterion (AIC)</w:t>
      </w:r>
      <w:r w:rsidR="00651236" w:rsidRPr="00651236">
        <w:rPr>
          <w:rFonts w:asciiTheme="majorBidi" w:hAnsiTheme="majorBidi" w:cstheme="majorBidi"/>
          <w:lang w:bidi="fa-IR"/>
        </w:rPr>
        <w:t xml:space="preserve"> to obtain the optimal number of degrees of freedom in the extended Cox-type additive multivariate analysis</w:t>
      </w:r>
      <w:r w:rsidR="00047748">
        <w:rPr>
          <w:rFonts w:asciiTheme="majorBidi" w:hAnsiTheme="majorBidi" w:cstheme="majorBidi"/>
          <w:lang w:bidi="fa-IR"/>
        </w:rPr>
        <w:t xml:space="preserve"> </w:t>
      </w:r>
      <w:r w:rsidR="00651236">
        <w:rPr>
          <w:rFonts w:asciiTheme="majorBidi" w:hAnsiTheme="majorBidi" w:cstheme="majorBidi"/>
          <w:lang w:bidi="fa-IR"/>
        </w:rPr>
        <w:t>[1]</w:t>
      </w:r>
      <w:r w:rsidR="00725E87">
        <w:rPr>
          <w:rFonts w:asciiTheme="majorBidi" w:hAnsiTheme="majorBidi" w:cstheme="majorBidi"/>
          <w:lang w:bidi="fa-IR"/>
        </w:rPr>
        <w:t xml:space="preserve">. The reference value was defined as lowest risk point. </w:t>
      </w:r>
      <w:r w:rsidR="004D4867" w:rsidRPr="004D4867">
        <w:rPr>
          <w:rFonts w:asciiTheme="majorBidi" w:hAnsiTheme="majorBidi" w:cstheme="majorBidi"/>
          <w:lang w:bidi="fa-IR"/>
        </w:rPr>
        <w:t xml:space="preserve">Performance of </w:t>
      </w:r>
      <w:r w:rsidR="004D4867">
        <w:rPr>
          <w:rFonts w:asciiTheme="majorBidi" w:hAnsiTheme="majorBidi" w:cstheme="majorBidi"/>
          <w:lang w:bidi="fa-IR"/>
        </w:rPr>
        <w:t>LDL</w:t>
      </w:r>
      <w:r w:rsidR="0015131F">
        <w:rPr>
          <w:rFonts w:asciiTheme="majorBidi" w:hAnsiTheme="majorBidi" w:cstheme="majorBidi"/>
          <w:lang w:bidi="fa-IR"/>
        </w:rPr>
        <w:t>-C</w:t>
      </w:r>
      <w:r w:rsidR="004D4867">
        <w:rPr>
          <w:rFonts w:asciiTheme="majorBidi" w:hAnsiTheme="majorBidi" w:cstheme="majorBidi"/>
          <w:lang w:bidi="fa-IR"/>
        </w:rPr>
        <w:t xml:space="preserve"> level</w:t>
      </w:r>
      <w:r w:rsidR="004D4867" w:rsidRPr="004D4867">
        <w:rPr>
          <w:rFonts w:asciiTheme="majorBidi" w:hAnsiTheme="majorBidi" w:cstheme="majorBidi"/>
          <w:lang w:bidi="fa-IR"/>
        </w:rPr>
        <w:t xml:space="preserve"> was plotted by </w:t>
      </w:r>
      <w:r w:rsidR="004D4867">
        <w:rPr>
          <w:rFonts w:asciiTheme="majorBidi" w:hAnsiTheme="majorBidi" w:cstheme="majorBidi"/>
          <w:lang w:bidi="fa-IR"/>
        </w:rPr>
        <w:t>mortality status</w:t>
      </w:r>
      <w:r w:rsidR="004D4867" w:rsidRPr="004D4867">
        <w:rPr>
          <w:rFonts w:asciiTheme="majorBidi" w:hAnsiTheme="majorBidi" w:cstheme="majorBidi"/>
          <w:lang w:bidi="fa-IR"/>
        </w:rPr>
        <w:t xml:space="preserve"> using</w:t>
      </w:r>
      <w:r w:rsidR="00C057E0">
        <w:rPr>
          <w:rFonts w:asciiTheme="majorBidi" w:hAnsiTheme="majorBidi" w:cstheme="majorBidi"/>
          <w:lang w:bidi="fa-IR"/>
        </w:rPr>
        <w:t xml:space="preserve"> adjusted multivariable</w:t>
      </w:r>
      <w:r w:rsidR="004D4867" w:rsidRPr="004D4867">
        <w:rPr>
          <w:rFonts w:asciiTheme="majorBidi" w:hAnsiTheme="majorBidi" w:cstheme="majorBidi"/>
          <w:lang w:bidi="fa-IR"/>
        </w:rPr>
        <w:t xml:space="preserve"> hazard ratios (HR) and 95% con</w:t>
      </w:r>
      <w:r w:rsidR="004D4867">
        <w:rPr>
          <w:rFonts w:asciiTheme="majorBidi" w:hAnsiTheme="majorBidi" w:cstheme="majorBidi"/>
          <w:lang w:bidi="fa-IR"/>
        </w:rPr>
        <w:t>fidence intervals (CI) in each gender</w:t>
      </w:r>
      <w:r w:rsidR="00E34B41">
        <w:rPr>
          <w:rFonts w:asciiTheme="majorBidi" w:hAnsiTheme="majorBidi" w:cstheme="majorBidi"/>
          <w:lang w:bidi="fa-IR"/>
        </w:rPr>
        <w:t xml:space="preserve"> [2]. </w:t>
      </w:r>
      <w:r w:rsidR="000A4007">
        <w:rPr>
          <w:rFonts w:asciiTheme="majorBidi" w:hAnsiTheme="majorBidi" w:cstheme="majorBidi"/>
          <w:lang w:bidi="fa-IR"/>
        </w:rPr>
        <w:t xml:space="preserve">We examined </w:t>
      </w:r>
      <w:r w:rsidR="000A4007" w:rsidRPr="000A4007">
        <w:rPr>
          <w:rFonts w:asciiTheme="majorBidi" w:hAnsiTheme="majorBidi" w:cstheme="majorBidi"/>
          <w:lang w:bidi="fa-IR"/>
        </w:rPr>
        <w:t>proportional hazards</w:t>
      </w:r>
      <w:r w:rsidR="000A4007">
        <w:rPr>
          <w:rFonts w:asciiTheme="majorBidi" w:hAnsiTheme="majorBidi" w:cstheme="majorBidi"/>
          <w:lang w:bidi="fa-IR"/>
        </w:rPr>
        <w:t xml:space="preserve"> assumption </w:t>
      </w:r>
      <w:r w:rsidR="000A4007" w:rsidRPr="000A4007">
        <w:rPr>
          <w:rFonts w:asciiTheme="majorBidi" w:hAnsiTheme="majorBidi" w:cstheme="majorBidi"/>
          <w:lang w:bidi="fa-IR"/>
        </w:rPr>
        <w:t>by visual inspection of residuals plots on time and using the Schoenfeld residuals test</w:t>
      </w:r>
      <w:r w:rsidR="000A4007">
        <w:rPr>
          <w:rFonts w:asciiTheme="majorBidi" w:hAnsiTheme="majorBidi" w:cstheme="majorBidi"/>
          <w:lang w:bidi="fa-IR"/>
        </w:rPr>
        <w:t>.</w:t>
      </w:r>
      <w:r w:rsidR="00662396">
        <w:rPr>
          <w:rFonts w:asciiTheme="majorBidi" w:hAnsiTheme="majorBidi" w:cstheme="majorBidi"/>
          <w:lang w:bidi="fa-IR"/>
        </w:rPr>
        <w:t xml:space="preserve"> </w:t>
      </w:r>
      <w:r w:rsidR="00662396" w:rsidRPr="00662396">
        <w:rPr>
          <w:rFonts w:asciiTheme="majorBidi" w:hAnsiTheme="majorBidi" w:cstheme="majorBidi"/>
          <w:lang w:bidi="fa-IR"/>
        </w:rPr>
        <w:t>Statistical signi</w:t>
      </w:r>
      <w:r w:rsidR="00662396">
        <w:rPr>
          <w:rFonts w:asciiTheme="majorBidi" w:hAnsiTheme="majorBidi" w:cstheme="majorBidi"/>
          <w:lang w:bidi="fa-IR"/>
        </w:rPr>
        <w:t>fi</w:t>
      </w:r>
      <w:r w:rsidR="00662396" w:rsidRPr="00662396">
        <w:rPr>
          <w:rFonts w:asciiTheme="majorBidi" w:hAnsiTheme="majorBidi" w:cstheme="majorBidi"/>
          <w:lang w:bidi="fa-IR"/>
        </w:rPr>
        <w:t xml:space="preserve">cance was set as </w:t>
      </w:r>
      <w:r w:rsidR="00662396">
        <w:rPr>
          <w:rFonts w:asciiTheme="majorBidi" w:hAnsiTheme="majorBidi" w:cstheme="majorBidi"/>
          <w:lang w:bidi="fa-IR"/>
        </w:rPr>
        <w:t>“</w:t>
      </w:r>
      <w:r w:rsidR="00662396" w:rsidRPr="00662396">
        <w:rPr>
          <w:rFonts w:asciiTheme="majorBidi" w:hAnsiTheme="majorBidi" w:cstheme="majorBidi"/>
          <w:lang w:bidi="fa-IR"/>
        </w:rPr>
        <w:t>P &lt; 0.05</w:t>
      </w:r>
      <w:r w:rsidR="00662396">
        <w:rPr>
          <w:rFonts w:asciiTheme="majorBidi" w:hAnsiTheme="majorBidi" w:cstheme="majorBidi"/>
          <w:lang w:bidi="fa-IR"/>
        </w:rPr>
        <w:t>”</w:t>
      </w:r>
      <w:r w:rsidR="00662396" w:rsidRPr="00662396">
        <w:rPr>
          <w:rFonts w:asciiTheme="majorBidi" w:hAnsiTheme="majorBidi" w:cstheme="majorBidi"/>
          <w:lang w:bidi="fa-IR"/>
        </w:rPr>
        <w:t xml:space="preserve"> in a two-tailed test. All statistical analyses were performed using R version 4.1.0 (R Foundation)</w:t>
      </w:r>
      <w:r w:rsidR="00662396">
        <w:rPr>
          <w:rFonts w:asciiTheme="majorBidi" w:hAnsiTheme="majorBidi" w:cstheme="majorBidi"/>
          <w:lang w:bidi="fa-IR"/>
        </w:rPr>
        <w:t xml:space="preserve">. </w:t>
      </w:r>
    </w:p>
    <w:p w14:paraId="21A42925" w14:textId="33660712" w:rsidR="0070169A" w:rsidRDefault="0070169A" w:rsidP="00662396">
      <w:pPr>
        <w:spacing w:line="360" w:lineRule="auto"/>
        <w:jc w:val="both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lastRenderedPageBreak/>
        <w:t xml:space="preserve">Mortality in both men and women population revealed </w:t>
      </w:r>
      <w:r w:rsidRPr="0070169A">
        <w:rPr>
          <w:rFonts w:asciiTheme="majorBidi" w:hAnsiTheme="majorBidi" w:cstheme="majorBidi"/>
          <w:lang w:bidi="fa-IR"/>
        </w:rPr>
        <w:t xml:space="preserve">a nonlinear relation (“U-shaped”) with </w:t>
      </w:r>
      <w:r>
        <w:rPr>
          <w:rFonts w:asciiTheme="majorBidi" w:hAnsiTheme="majorBidi" w:cstheme="majorBidi"/>
          <w:lang w:bidi="fa-IR"/>
        </w:rPr>
        <w:t>LDL</w:t>
      </w:r>
      <w:r w:rsidR="0015131F">
        <w:rPr>
          <w:rFonts w:asciiTheme="majorBidi" w:hAnsiTheme="majorBidi" w:cstheme="majorBidi"/>
          <w:lang w:bidi="fa-IR"/>
        </w:rPr>
        <w:t>-C</w:t>
      </w:r>
      <w:r>
        <w:rPr>
          <w:rFonts w:asciiTheme="majorBidi" w:hAnsiTheme="majorBidi" w:cstheme="majorBidi"/>
          <w:lang w:bidi="fa-IR"/>
        </w:rPr>
        <w:t xml:space="preserve"> </w:t>
      </w:r>
      <w:r w:rsidRPr="0070169A">
        <w:rPr>
          <w:rFonts w:asciiTheme="majorBidi" w:hAnsiTheme="majorBidi" w:cstheme="majorBidi"/>
          <w:lang w:bidi="fa-IR"/>
        </w:rPr>
        <w:t>levels.</w:t>
      </w:r>
      <w:r w:rsidR="00140753">
        <w:rPr>
          <w:rFonts w:asciiTheme="majorBidi" w:hAnsiTheme="majorBidi" w:cstheme="majorBidi"/>
          <w:lang w:bidi="fa-IR"/>
        </w:rPr>
        <w:t xml:space="preserve"> In males (12,778. 72.8%) lowest risk of mortality was at 108 mg/dl (p for non-linearity&lt;0.001</w:t>
      </w:r>
      <w:r w:rsidR="0086199B">
        <w:rPr>
          <w:rFonts w:asciiTheme="majorBidi" w:hAnsiTheme="majorBidi" w:cstheme="majorBidi"/>
          <w:lang w:bidi="fa-IR"/>
        </w:rPr>
        <w:t>, df=3</w:t>
      </w:r>
      <w:r w:rsidR="00140753">
        <w:rPr>
          <w:rFonts w:asciiTheme="majorBidi" w:hAnsiTheme="majorBidi" w:cstheme="majorBidi"/>
          <w:lang w:bidi="fa-IR"/>
        </w:rPr>
        <w:t>), although in females (4,777. 27.2%) lowest risk of mortality was at 103 mg/dl (p for non-linearity&lt;0.001</w:t>
      </w:r>
      <w:r w:rsidR="0086199B">
        <w:rPr>
          <w:rFonts w:asciiTheme="majorBidi" w:hAnsiTheme="majorBidi" w:cstheme="majorBidi"/>
          <w:lang w:bidi="fa-IR"/>
        </w:rPr>
        <w:t>, df=3</w:t>
      </w:r>
      <w:r w:rsidR="00140753">
        <w:rPr>
          <w:rFonts w:asciiTheme="majorBidi" w:hAnsiTheme="majorBidi" w:cstheme="majorBidi"/>
          <w:lang w:bidi="fa-IR"/>
        </w:rPr>
        <w:t>)</w:t>
      </w:r>
      <w:r w:rsidR="00C4598A">
        <w:rPr>
          <w:rFonts w:asciiTheme="majorBidi" w:hAnsiTheme="majorBidi" w:cstheme="majorBidi"/>
          <w:lang w:bidi="fa-IR"/>
        </w:rPr>
        <w:t>.</w:t>
      </w:r>
    </w:p>
    <w:p w14:paraId="409FD915" w14:textId="0FE0EFF6" w:rsidR="000F02AC" w:rsidRDefault="000F02AC" w:rsidP="000F02AC">
      <w:pPr>
        <w:spacing w:line="360" w:lineRule="auto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 xml:space="preserve">According to our results, while the LDL-C level is a prognostic factor, </w:t>
      </w:r>
      <w:r w:rsidRPr="000F02AC">
        <w:rPr>
          <w:rFonts w:asciiTheme="majorBidi" w:hAnsiTheme="majorBidi" w:cstheme="majorBidi"/>
          <w:lang w:bidi="fa-IR"/>
        </w:rPr>
        <w:t>it should not be</w:t>
      </w:r>
      <w:r>
        <w:rPr>
          <w:rFonts w:asciiTheme="majorBidi" w:hAnsiTheme="majorBidi" w:cstheme="majorBidi"/>
          <w:lang w:bidi="fa-IR"/>
        </w:rPr>
        <w:t xml:space="preserve"> </w:t>
      </w:r>
      <w:r w:rsidRPr="000F02AC">
        <w:rPr>
          <w:rFonts w:asciiTheme="majorBidi" w:hAnsiTheme="majorBidi" w:cstheme="majorBidi"/>
          <w:lang w:bidi="fa-IR"/>
        </w:rPr>
        <w:t>implied that patients with a very low LDL</w:t>
      </w:r>
      <w:r w:rsidR="0015131F">
        <w:rPr>
          <w:rFonts w:asciiTheme="majorBidi" w:hAnsiTheme="majorBidi" w:cstheme="majorBidi"/>
          <w:lang w:bidi="fa-IR"/>
        </w:rPr>
        <w:t>-C</w:t>
      </w:r>
      <w:r w:rsidRPr="000F02AC">
        <w:rPr>
          <w:rFonts w:asciiTheme="majorBidi" w:hAnsiTheme="majorBidi" w:cstheme="majorBidi"/>
          <w:lang w:bidi="fa-IR"/>
        </w:rPr>
        <w:t xml:space="preserve"> have a necessarily better outcome after</w:t>
      </w:r>
      <w:r>
        <w:rPr>
          <w:rFonts w:asciiTheme="majorBidi" w:hAnsiTheme="majorBidi" w:cstheme="majorBidi"/>
          <w:lang w:bidi="fa-IR"/>
        </w:rPr>
        <w:t xml:space="preserve"> </w:t>
      </w:r>
      <w:r w:rsidRPr="000F02AC">
        <w:rPr>
          <w:rFonts w:asciiTheme="majorBidi" w:hAnsiTheme="majorBidi" w:cstheme="majorBidi"/>
          <w:lang w:bidi="fa-IR"/>
        </w:rPr>
        <w:t>CABG.</w:t>
      </w:r>
    </w:p>
    <w:p w14:paraId="05B1607D" w14:textId="4F9C5ACE" w:rsidR="00C4598A" w:rsidRDefault="000E2B0C" w:rsidP="000E2B0C">
      <w:pPr>
        <w:spacing w:line="360" w:lineRule="auto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 xml:space="preserve">In conclusion, the U-shaped </w:t>
      </w:r>
      <w:r w:rsidRPr="000E2B0C">
        <w:rPr>
          <w:rFonts w:asciiTheme="majorBidi" w:hAnsiTheme="majorBidi" w:cstheme="majorBidi"/>
          <w:lang w:bidi="fa-IR"/>
        </w:rPr>
        <w:t xml:space="preserve">association was detected between </w:t>
      </w:r>
      <w:r>
        <w:rPr>
          <w:rFonts w:asciiTheme="majorBidi" w:hAnsiTheme="majorBidi" w:cstheme="majorBidi"/>
          <w:lang w:bidi="fa-IR"/>
        </w:rPr>
        <w:t>LDL</w:t>
      </w:r>
      <w:r w:rsidR="0015131F">
        <w:rPr>
          <w:rFonts w:asciiTheme="majorBidi" w:hAnsiTheme="majorBidi" w:cstheme="majorBidi"/>
          <w:lang w:bidi="fa-IR"/>
        </w:rPr>
        <w:t>-C</w:t>
      </w:r>
      <w:r>
        <w:rPr>
          <w:rFonts w:asciiTheme="majorBidi" w:hAnsiTheme="majorBidi" w:cstheme="majorBidi"/>
          <w:lang w:bidi="fa-IR"/>
        </w:rPr>
        <w:t xml:space="preserve"> level</w:t>
      </w:r>
      <w:r w:rsidRPr="000E2B0C">
        <w:rPr>
          <w:rFonts w:asciiTheme="majorBidi" w:hAnsiTheme="majorBidi" w:cstheme="majorBidi"/>
          <w:lang w:bidi="fa-IR"/>
        </w:rPr>
        <w:t xml:space="preserve"> and</w:t>
      </w:r>
      <w:r>
        <w:rPr>
          <w:rFonts w:asciiTheme="majorBidi" w:hAnsiTheme="majorBidi" w:cstheme="majorBidi"/>
          <w:lang w:bidi="fa-IR"/>
        </w:rPr>
        <w:t xml:space="preserve"> </w:t>
      </w:r>
      <w:r w:rsidRPr="000E2B0C">
        <w:rPr>
          <w:rFonts w:asciiTheme="majorBidi" w:hAnsiTheme="majorBidi" w:cstheme="majorBidi"/>
          <w:lang w:bidi="fa-IR"/>
        </w:rPr>
        <w:t xml:space="preserve">mortality among </w:t>
      </w:r>
      <w:r w:rsidR="00EF3BED">
        <w:rPr>
          <w:rFonts w:asciiTheme="majorBidi" w:hAnsiTheme="majorBidi" w:cstheme="majorBidi"/>
          <w:lang w:bidi="fa-IR"/>
        </w:rPr>
        <w:t xml:space="preserve">patients </w:t>
      </w:r>
      <w:r w:rsidR="0015131F">
        <w:rPr>
          <w:rFonts w:asciiTheme="majorBidi" w:hAnsiTheme="majorBidi" w:cstheme="majorBidi"/>
          <w:lang w:bidi="fa-IR"/>
        </w:rPr>
        <w:t xml:space="preserve">who </w:t>
      </w:r>
      <w:r w:rsidR="00EF3BED">
        <w:rPr>
          <w:rFonts w:asciiTheme="majorBidi" w:hAnsiTheme="majorBidi" w:cstheme="majorBidi"/>
          <w:lang w:bidi="fa-IR"/>
        </w:rPr>
        <w:t>underwent isolated CABG procedure.</w:t>
      </w:r>
      <w:r w:rsidR="000F02AC">
        <w:rPr>
          <w:rFonts w:asciiTheme="majorBidi" w:hAnsiTheme="majorBidi" w:cstheme="majorBidi"/>
          <w:lang w:bidi="fa-IR"/>
        </w:rPr>
        <w:t xml:space="preserve"> </w:t>
      </w:r>
      <w:r w:rsidR="00D24D76">
        <w:rPr>
          <w:rFonts w:asciiTheme="majorBidi" w:hAnsiTheme="majorBidi" w:cstheme="majorBidi"/>
          <w:lang w:bidi="fa-IR"/>
        </w:rPr>
        <w:t>Hence, p</w:t>
      </w:r>
      <w:r w:rsidR="000F02AC" w:rsidRPr="000F02AC">
        <w:rPr>
          <w:rFonts w:asciiTheme="majorBidi" w:hAnsiTheme="majorBidi" w:cstheme="majorBidi"/>
          <w:lang w:bidi="fa-IR"/>
        </w:rPr>
        <w:t xml:space="preserve">ersonalized risk stratification should be </w:t>
      </w:r>
      <w:r w:rsidR="000F02AC">
        <w:rPr>
          <w:rFonts w:asciiTheme="majorBidi" w:hAnsiTheme="majorBidi" w:cstheme="majorBidi"/>
          <w:lang w:bidi="fa-IR"/>
        </w:rPr>
        <w:t>performed</w:t>
      </w:r>
      <w:r w:rsidR="000F02AC" w:rsidRPr="000F02AC">
        <w:rPr>
          <w:rFonts w:asciiTheme="majorBidi" w:hAnsiTheme="majorBidi" w:cstheme="majorBidi"/>
          <w:lang w:bidi="fa-IR"/>
        </w:rPr>
        <w:t xml:space="preserve"> regardless of baseline LDL</w:t>
      </w:r>
      <w:r w:rsidR="000F02AC">
        <w:rPr>
          <w:rFonts w:asciiTheme="majorBidi" w:hAnsiTheme="majorBidi" w:cstheme="majorBidi"/>
          <w:lang w:bidi="fa-IR"/>
        </w:rPr>
        <w:t xml:space="preserve"> levels</w:t>
      </w:r>
      <w:r w:rsidR="000F02AC" w:rsidRPr="000F02AC">
        <w:rPr>
          <w:rFonts w:asciiTheme="majorBidi" w:hAnsiTheme="majorBidi" w:cstheme="majorBidi"/>
          <w:lang w:bidi="fa-IR"/>
        </w:rPr>
        <w:t>.</w:t>
      </w:r>
    </w:p>
    <w:p w14:paraId="75B19E61" w14:textId="77777777" w:rsidR="0015131F" w:rsidRDefault="0015131F" w:rsidP="000E2B0C">
      <w:pPr>
        <w:spacing w:line="360" w:lineRule="auto"/>
        <w:rPr>
          <w:rFonts w:asciiTheme="majorBidi" w:hAnsiTheme="majorBidi" w:cstheme="majorBidi"/>
          <w:lang w:bidi="fa-IR"/>
        </w:rPr>
      </w:pPr>
    </w:p>
    <w:p w14:paraId="0A3CB913" w14:textId="3A15E5ED" w:rsidR="00651236" w:rsidRDefault="009C62ED" w:rsidP="00857F3F">
      <w:pPr>
        <w:spacing w:line="360" w:lineRule="auto"/>
        <w:jc w:val="both"/>
        <w:rPr>
          <w:rFonts w:asciiTheme="majorBidi" w:hAnsiTheme="majorBidi" w:cstheme="majorBidi"/>
          <w:lang w:bidi="fa-IR"/>
        </w:rPr>
      </w:pPr>
      <w:r w:rsidRPr="009C62ED">
        <w:rPr>
          <w:rFonts w:asciiTheme="majorBidi" w:hAnsiTheme="majorBidi" w:cstheme="majorBidi"/>
          <w:b/>
          <w:bCs/>
          <w:lang w:bidi="fa-IR"/>
        </w:rPr>
        <w:t>Keywords:</w:t>
      </w:r>
      <w:r>
        <w:rPr>
          <w:rFonts w:asciiTheme="majorBidi" w:hAnsiTheme="majorBidi" w:cstheme="majorBidi"/>
          <w:b/>
          <w:bCs/>
          <w:lang w:bidi="fa-IR"/>
        </w:rPr>
        <w:t xml:space="preserve"> </w:t>
      </w:r>
      <w:r>
        <w:rPr>
          <w:rFonts w:asciiTheme="majorBidi" w:hAnsiTheme="majorBidi" w:cstheme="majorBidi"/>
          <w:lang w:bidi="fa-IR"/>
        </w:rPr>
        <w:t xml:space="preserve">LDL, CABG, U-shaped, RCS, Restricted Cubic Splines, </w:t>
      </w:r>
      <w:r w:rsidR="00E30F07">
        <w:rPr>
          <w:rFonts w:asciiTheme="majorBidi" w:hAnsiTheme="majorBidi" w:cstheme="majorBidi"/>
          <w:lang w:bidi="fa-IR"/>
        </w:rPr>
        <w:t>Prognostic Impact</w:t>
      </w:r>
    </w:p>
    <w:p w14:paraId="75228425" w14:textId="4834717B" w:rsidR="0015131F" w:rsidRDefault="0015131F" w:rsidP="00857F3F">
      <w:pPr>
        <w:spacing w:line="360" w:lineRule="auto"/>
        <w:jc w:val="both"/>
        <w:rPr>
          <w:rFonts w:asciiTheme="majorBidi" w:hAnsiTheme="majorBidi" w:cstheme="majorBidi"/>
          <w:lang w:bidi="fa-IR"/>
        </w:rPr>
      </w:pPr>
    </w:p>
    <w:p w14:paraId="1EF26735" w14:textId="546E28D4" w:rsidR="0015131F" w:rsidRDefault="0015131F" w:rsidP="00857F3F">
      <w:pPr>
        <w:spacing w:line="360" w:lineRule="auto"/>
        <w:jc w:val="both"/>
        <w:rPr>
          <w:rFonts w:asciiTheme="majorBidi" w:hAnsiTheme="majorBidi" w:cstheme="majorBidi"/>
          <w:lang w:bidi="fa-IR"/>
        </w:rPr>
      </w:pPr>
    </w:p>
    <w:p w14:paraId="21213F49" w14:textId="13858713" w:rsidR="0015131F" w:rsidRDefault="0015131F" w:rsidP="00857F3F">
      <w:pPr>
        <w:spacing w:line="360" w:lineRule="auto"/>
        <w:jc w:val="both"/>
        <w:rPr>
          <w:rFonts w:asciiTheme="majorBidi" w:hAnsiTheme="majorBidi" w:cstheme="majorBidi"/>
          <w:lang w:bidi="fa-IR"/>
        </w:rPr>
      </w:pPr>
    </w:p>
    <w:p w14:paraId="049B962F" w14:textId="77777777" w:rsidR="0015131F" w:rsidRPr="009C62ED" w:rsidRDefault="0015131F" w:rsidP="00857F3F">
      <w:pPr>
        <w:spacing w:line="360" w:lineRule="auto"/>
        <w:jc w:val="both"/>
        <w:rPr>
          <w:rFonts w:asciiTheme="majorBidi" w:hAnsiTheme="majorBidi" w:cstheme="majorBidi"/>
          <w:lang w:bidi="fa-IR"/>
        </w:rPr>
      </w:pPr>
    </w:p>
    <w:p w14:paraId="24585193" w14:textId="52BC73BC" w:rsidR="00651236" w:rsidRDefault="00651236" w:rsidP="00857F3F">
      <w:pPr>
        <w:spacing w:line="360" w:lineRule="auto"/>
        <w:jc w:val="both"/>
        <w:rPr>
          <w:rFonts w:asciiTheme="majorBidi" w:hAnsiTheme="majorBidi" w:cstheme="majorBidi"/>
          <w:b/>
          <w:bCs/>
          <w:lang w:bidi="fa-IR"/>
        </w:rPr>
      </w:pPr>
      <w:r w:rsidRPr="00651236">
        <w:rPr>
          <w:rFonts w:asciiTheme="majorBidi" w:hAnsiTheme="majorBidi" w:cstheme="majorBidi"/>
          <w:b/>
          <w:bCs/>
          <w:lang w:bidi="fa-IR"/>
        </w:rPr>
        <w:t>References</w:t>
      </w:r>
    </w:p>
    <w:p w14:paraId="22B0C4E5" w14:textId="42A26958" w:rsidR="00651236" w:rsidRDefault="00651236" w:rsidP="00651236">
      <w:pPr>
        <w:jc w:val="both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 xml:space="preserve">1. </w:t>
      </w:r>
      <w:r w:rsidRPr="00651236">
        <w:rPr>
          <w:rFonts w:asciiTheme="majorBidi" w:hAnsiTheme="majorBidi" w:cstheme="majorBidi"/>
          <w:lang w:bidi="fa-IR"/>
        </w:rPr>
        <w:t>Meira-Machado L, Cadarso-Suarez C, Gude F, Araujo A: smoothHR: an R package for pointwise nonparametric estimation of hazard ratio curves of continuous predictors. Comput Math Methods Med 2013, 2013:745742.</w:t>
      </w:r>
    </w:p>
    <w:p w14:paraId="6BB03B8B" w14:textId="62E936E2" w:rsidR="001D451A" w:rsidRDefault="001D451A" w:rsidP="00651236">
      <w:pPr>
        <w:jc w:val="both"/>
        <w:rPr>
          <w:rFonts w:asciiTheme="majorBidi" w:hAnsiTheme="majorBidi" w:cstheme="majorBidi"/>
          <w:lang w:bidi="fa-IR"/>
        </w:rPr>
      </w:pPr>
    </w:p>
    <w:p w14:paraId="27EB71D1" w14:textId="4A596B24" w:rsidR="001D451A" w:rsidRDefault="001D451A" w:rsidP="00651236">
      <w:pPr>
        <w:jc w:val="both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2.</w:t>
      </w:r>
      <w:r w:rsidRPr="001D451A">
        <w:t xml:space="preserve"> </w:t>
      </w:r>
      <w:r w:rsidRPr="001D451A">
        <w:rPr>
          <w:rFonts w:asciiTheme="majorBidi" w:hAnsiTheme="majorBidi" w:cstheme="majorBidi"/>
          <w:lang w:bidi="fa-IR"/>
        </w:rPr>
        <w:t>Harrell F: Regression Modeling Strategies: With Applications to Linear Models, Logistic and Ordinal Regression, and Survival Analysis. New York City, NY: Springer; 2015</w:t>
      </w:r>
    </w:p>
    <w:p w14:paraId="45166F5D" w14:textId="77777777" w:rsidR="00651236" w:rsidRPr="00651236" w:rsidRDefault="00651236" w:rsidP="00651236">
      <w:pPr>
        <w:jc w:val="both"/>
        <w:rPr>
          <w:rFonts w:asciiTheme="majorBidi" w:hAnsiTheme="majorBidi" w:cstheme="majorBidi"/>
          <w:rtl/>
          <w:lang w:bidi="fa-IR"/>
        </w:rPr>
      </w:pPr>
    </w:p>
    <w:sectPr w:rsidR="00651236" w:rsidRPr="00651236" w:rsidSect="00DF7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08"/>
    <w:rsid w:val="00047748"/>
    <w:rsid w:val="00055735"/>
    <w:rsid w:val="000A4007"/>
    <w:rsid w:val="000B615C"/>
    <w:rsid w:val="000E053A"/>
    <w:rsid w:val="000E2B0C"/>
    <w:rsid w:val="000F02AC"/>
    <w:rsid w:val="00140753"/>
    <w:rsid w:val="0015131F"/>
    <w:rsid w:val="001B34DA"/>
    <w:rsid w:val="001D451A"/>
    <w:rsid w:val="00217621"/>
    <w:rsid w:val="00240D24"/>
    <w:rsid w:val="002F52CC"/>
    <w:rsid w:val="003128A1"/>
    <w:rsid w:val="003438D4"/>
    <w:rsid w:val="00361D37"/>
    <w:rsid w:val="003D410E"/>
    <w:rsid w:val="003E067C"/>
    <w:rsid w:val="00413A54"/>
    <w:rsid w:val="00437923"/>
    <w:rsid w:val="004A7539"/>
    <w:rsid w:val="004B2D85"/>
    <w:rsid w:val="004D4867"/>
    <w:rsid w:val="004E63AC"/>
    <w:rsid w:val="00522EF5"/>
    <w:rsid w:val="0055749E"/>
    <w:rsid w:val="005950BD"/>
    <w:rsid w:val="005C0F33"/>
    <w:rsid w:val="005D0A5E"/>
    <w:rsid w:val="005D1B86"/>
    <w:rsid w:val="005E3127"/>
    <w:rsid w:val="00621BFA"/>
    <w:rsid w:val="006376D5"/>
    <w:rsid w:val="00651236"/>
    <w:rsid w:val="00662396"/>
    <w:rsid w:val="00686AAA"/>
    <w:rsid w:val="006B69FB"/>
    <w:rsid w:val="0070169A"/>
    <w:rsid w:val="00703658"/>
    <w:rsid w:val="00725E87"/>
    <w:rsid w:val="0075079A"/>
    <w:rsid w:val="00792DB3"/>
    <w:rsid w:val="007F33EC"/>
    <w:rsid w:val="0082743E"/>
    <w:rsid w:val="00856045"/>
    <w:rsid w:val="00857F3F"/>
    <w:rsid w:val="0086199B"/>
    <w:rsid w:val="00883612"/>
    <w:rsid w:val="00935839"/>
    <w:rsid w:val="00957523"/>
    <w:rsid w:val="0098459A"/>
    <w:rsid w:val="009C62ED"/>
    <w:rsid w:val="009F1345"/>
    <w:rsid w:val="00A02DA0"/>
    <w:rsid w:val="00A0788C"/>
    <w:rsid w:val="00A569A9"/>
    <w:rsid w:val="00A84BD6"/>
    <w:rsid w:val="00AA275A"/>
    <w:rsid w:val="00B04B47"/>
    <w:rsid w:val="00B65BCC"/>
    <w:rsid w:val="00BA71DF"/>
    <w:rsid w:val="00C057E0"/>
    <w:rsid w:val="00C25032"/>
    <w:rsid w:val="00C4598A"/>
    <w:rsid w:val="00C62E08"/>
    <w:rsid w:val="00C63BFA"/>
    <w:rsid w:val="00CA46D7"/>
    <w:rsid w:val="00D24D76"/>
    <w:rsid w:val="00D66954"/>
    <w:rsid w:val="00DC156A"/>
    <w:rsid w:val="00DF701D"/>
    <w:rsid w:val="00E1298C"/>
    <w:rsid w:val="00E14523"/>
    <w:rsid w:val="00E30F07"/>
    <w:rsid w:val="00E34B41"/>
    <w:rsid w:val="00EC1CD8"/>
    <w:rsid w:val="00EE2371"/>
    <w:rsid w:val="00EF3BED"/>
    <w:rsid w:val="00F055CF"/>
    <w:rsid w:val="00F32FFE"/>
    <w:rsid w:val="00F33F32"/>
    <w:rsid w:val="00F54B98"/>
    <w:rsid w:val="00FB5053"/>
    <w:rsid w:val="00FB7129"/>
    <w:rsid w:val="00FC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E617D"/>
  <w15:chartTrackingRefBased/>
  <w15:docId w15:val="{0646F83D-8A93-5741-A848-D8765357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2396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24D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D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D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D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D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7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7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4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2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8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4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3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2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6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kaveh hosseini</cp:lastModifiedBy>
  <cp:revision>7</cp:revision>
  <dcterms:created xsi:type="dcterms:W3CDTF">2021-12-04T22:32:00Z</dcterms:created>
  <dcterms:modified xsi:type="dcterms:W3CDTF">2021-12-05T19:51:00Z</dcterms:modified>
</cp:coreProperties>
</file>