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909" w:rsidRPr="00F51431" w:rsidRDefault="00782909" w:rsidP="00782909">
      <w:pPr>
        <w:bidi/>
        <w:spacing w:line="360" w:lineRule="auto"/>
        <w:jc w:val="both"/>
        <w:rPr>
          <w:rFonts w:cs="B Lotus"/>
          <w:sz w:val="24"/>
          <w:szCs w:val="24"/>
          <w:rtl/>
          <w:lang w:bidi="fa-IR"/>
        </w:rPr>
      </w:pPr>
      <w:r w:rsidRPr="004E6F5C">
        <w:rPr>
          <w:rFonts w:cs="B Lotus" w:hint="cs"/>
          <w:sz w:val="28"/>
          <w:szCs w:val="28"/>
          <w:rtl/>
          <w:lang w:bidi="fa-IR"/>
        </w:rPr>
        <w:t>چکیده:</w:t>
      </w:r>
    </w:p>
    <w:p w:rsidR="00782909" w:rsidRDefault="00782909" w:rsidP="00782909">
      <w:pPr>
        <w:bidi/>
        <w:spacing w:line="360" w:lineRule="auto"/>
        <w:jc w:val="both"/>
        <w:rPr>
          <w:rFonts w:cs="B Lotus"/>
          <w:sz w:val="24"/>
          <w:szCs w:val="24"/>
          <w:lang w:bidi="fa-IR"/>
        </w:rPr>
      </w:pPr>
      <w:r w:rsidRPr="004E6F5C">
        <w:rPr>
          <w:rFonts w:cs="B Lotus" w:hint="cs"/>
          <w:sz w:val="24"/>
          <w:szCs w:val="24"/>
          <w:rtl/>
          <w:lang w:bidi="fa-IR"/>
        </w:rPr>
        <w:t>آنچه در ساختگرایی تکوینی حائز اهمیت است گروهی است که نویسنده به آن تعلق دارد و آن گروه خود جزئی از یک کل بزرگتر یعنی جامعه و ساختارهای اقتصادی و اجتماعی آن در دوره</w:t>
      </w:r>
      <w:r w:rsidRPr="004E6F5C">
        <w:rPr>
          <w:rFonts w:cs="B Lotus" w:hint="cs"/>
          <w:sz w:val="24"/>
          <w:szCs w:val="24"/>
          <w:rtl/>
          <w:lang w:bidi="fa-IR"/>
        </w:rPr>
        <w:softHyphen/>
        <w:t>ای معین است. منتقد و تحلیل</w:t>
      </w:r>
      <w:r w:rsidRPr="004E6F5C">
        <w:rPr>
          <w:rFonts w:cs="B Lotus" w:hint="cs"/>
          <w:sz w:val="24"/>
          <w:szCs w:val="24"/>
          <w:rtl/>
          <w:lang w:bidi="fa-IR"/>
        </w:rPr>
        <w:softHyphen/>
        <w:t>گر به واسطۀ نقد تکوینی می</w:t>
      </w:r>
      <w:r w:rsidRPr="004E6F5C">
        <w:rPr>
          <w:rFonts w:cs="B Lotus" w:hint="cs"/>
          <w:sz w:val="24"/>
          <w:szCs w:val="24"/>
          <w:rtl/>
          <w:lang w:bidi="fa-IR"/>
        </w:rPr>
        <w:softHyphen/>
        <w:t xml:space="preserve">تواند نشان دهد ساختارهای اقتصادی و اجتماعی موجود در جامعه در </w:t>
      </w:r>
      <w:r>
        <w:rPr>
          <w:rFonts w:cs="B Lotus" w:hint="cs"/>
          <w:sz w:val="24"/>
          <w:szCs w:val="24"/>
          <w:rtl/>
          <w:lang w:bidi="fa-IR"/>
        </w:rPr>
        <w:t>آثار و آفرینش</w:t>
      </w:r>
      <w:r>
        <w:rPr>
          <w:rFonts w:cs="B Lotus" w:hint="cs"/>
          <w:sz w:val="24"/>
          <w:szCs w:val="24"/>
          <w:rtl/>
          <w:lang w:bidi="fa-IR"/>
        </w:rPr>
        <w:softHyphen/>
        <w:t>های</w:t>
      </w:r>
      <w:r w:rsidRPr="004E6F5C">
        <w:rPr>
          <w:rFonts w:cs="B Lotus" w:hint="cs"/>
          <w:sz w:val="24"/>
          <w:szCs w:val="24"/>
          <w:rtl/>
          <w:lang w:bidi="fa-IR"/>
        </w:rPr>
        <w:t xml:space="preserve"> فرهنگی بازتاب پیدا کرده</w:t>
      </w:r>
      <w:r w:rsidRPr="004E6F5C">
        <w:rPr>
          <w:rFonts w:cs="B Lotus" w:hint="cs"/>
          <w:sz w:val="24"/>
          <w:szCs w:val="24"/>
          <w:rtl/>
          <w:lang w:bidi="fa-IR"/>
        </w:rPr>
        <w:softHyphen/>
        <w:t>اند. در این پژوهش قصد بر این است پدیده</w:t>
      </w:r>
      <w:r w:rsidRPr="004E6F5C">
        <w:rPr>
          <w:rFonts w:cs="B Lotus" w:hint="cs"/>
          <w:sz w:val="24"/>
          <w:szCs w:val="24"/>
          <w:rtl/>
          <w:lang w:bidi="fa-IR"/>
        </w:rPr>
        <w:softHyphen/>
        <w:t xml:space="preserve">ای به نام </w:t>
      </w:r>
      <w:r>
        <w:rPr>
          <w:rFonts w:cs="B Lotus" w:hint="cs"/>
          <w:sz w:val="24"/>
          <w:szCs w:val="24"/>
          <w:rtl/>
          <w:lang w:bidi="fa-IR"/>
        </w:rPr>
        <w:t>«</w:t>
      </w:r>
      <w:r w:rsidRPr="004E6F5C">
        <w:rPr>
          <w:rFonts w:cs="B Lotus" w:hint="cs"/>
          <w:sz w:val="24"/>
          <w:szCs w:val="24"/>
          <w:rtl/>
          <w:lang w:bidi="fa-IR"/>
        </w:rPr>
        <w:t>اسنوبیسم</w:t>
      </w:r>
      <w:r>
        <w:rPr>
          <w:rFonts w:cs="B Lotus" w:hint="cs"/>
          <w:sz w:val="24"/>
          <w:szCs w:val="24"/>
          <w:rtl/>
          <w:lang w:bidi="fa-IR"/>
        </w:rPr>
        <w:t>»</w:t>
      </w:r>
      <w:r w:rsidRPr="004E6F5C">
        <w:rPr>
          <w:rFonts w:cs="B Lotus" w:hint="cs"/>
          <w:sz w:val="24"/>
          <w:szCs w:val="24"/>
          <w:rtl/>
          <w:lang w:bidi="fa-IR"/>
        </w:rPr>
        <w:t xml:space="preserve"> یا </w:t>
      </w:r>
      <w:r>
        <w:rPr>
          <w:rFonts w:cs="B Lotus" w:hint="cs"/>
          <w:sz w:val="24"/>
          <w:szCs w:val="24"/>
          <w:rtl/>
          <w:lang w:bidi="fa-IR"/>
        </w:rPr>
        <w:t>«</w:t>
      </w:r>
      <w:r w:rsidRPr="004E6F5C">
        <w:rPr>
          <w:rFonts w:cs="B Lotus" w:hint="cs"/>
          <w:sz w:val="24"/>
          <w:szCs w:val="24"/>
          <w:rtl/>
          <w:lang w:bidi="fa-IR"/>
        </w:rPr>
        <w:t>تازه به دوران رسیدگی فرهنگی</w:t>
      </w:r>
      <w:r>
        <w:rPr>
          <w:rFonts w:cs="B Lotus" w:hint="cs"/>
          <w:sz w:val="24"/>
          <w:szCs w:val="24"/>
          <w:rtl/>
          <w:lang w:bidi="fa-IR"/>
        </w:rPr>
        <w:t>»</w:t>
      </w:r>
      <w:r w:rsidRPr="004E6F5C">
        <w:rPr>
          <w:rFonts w:cs="B Lotus" w:hint="cs"/>
          <w:sz w:val="24"/>
          <w:szCs w:val="24"/>
          <w:rtl/>
          <w:lang w:bidi="fa-IR"/>
        </w:rPr>
        <w:t xml:space="preserve"> را در سه نمایشنامه از اکبر رادی به همین شیوه مورد تفسیر و تشریح قرار دهیم. </w:t>
      </w:r>
      <w:r>
        <w:rPr>
          <w:rFonts w:cs="B Lotus" w:hint="cs"/>
          <w:sz w:val="24"/>
          <w:szCs w:val="24"/>
          <w:rtl/>
          <w:lang w:bidi="fa-IR"/>
        </w:rPr>
        <w:t>اصلی</w:t>
      </w:r>
      <w:r>
        <w:rPr>
          <w:rFonts w:cs="B Lotus" w:hint="cs"/>
          <w:sz w:val="24"/>
          <w:szCs w:val="24"/>
          <w:rtl/>
          <w:lang w:bidi="fa-IR"/>
        </w:rPr>
        <w:softHyphen/>
        <w:t xml:space="preserve">ترین سوالی که با آن روبرو هستیم این است که </w:t>
      </w:r>
      <w:r w:rsidRPr="00604948">
        <w:rPr>
          <w:rFonts w:cs="B Lotus" w:hint="cs"/>
          <w:sz w:val="24"/>
          <w:szCs w:val="24"/>
          <w:rtl/>
          <w:lang w:bidi="fa-IR"/>
        </w:rPr>
        <w:t xml:space="preserve">رادی در پرداختن به طبقۀ نوکیسه بیشتر </w:t>
      </w:r>
      <w:r>
        <w:rPr>
          <w:rFonts w:cs="B Lotus" w:hint="cs"/>
          <w:sz w:val="24"/>
          <w:szCs w:val="24"/>
          <w:rtl/>
          <w:lang w:bidi="fa-IR"/>
        </w:rPr>
        <w:t>به</w:t>
      </w:r>
      <w:r w:rsidRPr="00604948">
        <w:rPr>
          <w:rFonts w:cs="B Lotus" w:hint="cs"/>
          <w:sz w:val="24"/>
          <w:szCs w:val="24"/>
          <w:rtl/>
          <w:lang w:bidi="fa-IR"/>
        </w:rPr>
        <w:t xml:space="preserve"> کدام </w:t>
      </w:r>
      <w:r>
        <w:rPr>
          <w:rFonts w:cs="B Lotus" w:hint="cs"/>
          <w:sz w:val="24"/>
          <w:szCs w:val="24"/>
          <w:rtl/>
          <w:lang w:bidi="fa-IR"/>
        </w:rPr>
        <w:t xml:space="preserve">یک از </w:t>
      </w:r>
      <w:r w:rsidRPr="00604948">
        <w:rPr>
          <w:rFonts w:cs="B Lotus" w:hint="cs"/>
          <w:sz w:val="24"/>
          <w:szCs w:val="24"/>
          <w:rtl/>
          <w:lang w:bidi="fa-IR"/>
        </w:rPr>
        <w:t>پیامدهای تحولات سرمایه</w:t>
      </w:r>
      <w:r w:rsidRPr="00604948">
        <w:rPr>
          <w:rFonts w:cs="B Lotus" w:hint="cs"/>
          <w:sz w:val="24"/>
          <w:szCs w:val="24"/>
          <w:rtl/>
          <w:lang w:bidi="fa-IR"/>
        </w:rPr>
        <w:softHyphen/>
        <w:t>داری</w:t>
      </w:r>
      <w:r>
        <w:rPr>
          <w:rFonts w:cs="B Lotus" w:hint="cs"/>
          <w:sz w:val="24"/>
          <w:szCs w:val="24"/>
          <w:rtl/>
          <w:lang w:bidi="fa-IR"/>
        </w:rPr>
        <w:t xml:space="preserve"> توجه داشته است. چرا که این پیامدها خود را در عرصه</w:t>
      </w:r>
      <w:r>
        <w:rPr>
          <w:rFonts w:cs="B Lotus" w:hint="cs"/>
          <w:sz w:val="24"/>
          <w:szCs w:val="24"/>
          <w:rtl/>
          <w:lang w:bidi="fa-IR"/>
        </w:rPr>
        <w:softHyphen/>
        <w:t>های گوناگون فرهنگی، اجتماعی (شامل شکل</w:t>
      </w:r>
      <w:r>
        <w:rPr>
          <w:rFonts w:cs="B Lotus"/>
          <w:sz w:val="24"/>
          <w:szCs w:val="24"/>
          <w:rtl/>
          <w:lang w:bidi="fa-IR"/>
        </w:rPr>
        <w:softHyphen/>
      </w:r>
      <w:r>
        <w:rPr>
          <w:rFonts w:cs="B Lotus" w:hint="cs"/>
          <w:sz w:val="24"/>
          <w:szCs w:val="24"/>
          <w:rtl/>
          <w:lang w:bidi="fa-IR"/>
        </w:rPr>
        <w:t xml:space="preserve">گیری طبقات جدید، گذار ناگهانی از طبقات فرودست به طبقات فرادست و...) نشان داده است. </w:t>
      </w:r>
      <w:r w:rsidRPr="004E6F5C">
        <w:rPr>
          <w:rFonts w:cs="B Lotus" w:hint="cs"/>
          <w:sz w:val="24"/>
          <w:szCs w:val="24"/>
          <w:rtl/>
          <w:lang w:bidi="fa-IR"/>
        </w:rPr>
        <w:t>فرض اولیه نگارنده بر این است که رادی برای پرداختن به تحولات اقتصادی و اجتماعی در یک جامعه سرمایه</w:t>
      </w:r>
      <w:r w:rsidRPr="004E6F5C">
        <w:rPr>
          <w:rFonts w:cs="B Lotus" w:hint="cs"/>
          <w:sz w:val="24"/>
          <w:szCs w:val="24"/>
          <w:rtl/>
          <w:lang w:bidi="fa-IR"/>
        </w:rPr>
        <w:softHyphen/>
        <w:t>داری به خلق شخصیت</w:t>
      </w:r>
      <w:r w:rsidRPr="004E6F5C">
        <w:rPr>
          <w:rFonts w:cs="B Lotus" w:hint="cs"/>
          <w:sz w:val="24"/>
          <w:szCs w:val="24"/>
          <w:rtl/>
          <w:lang w:bidi="fa-IR"/>
        </w:rPr>
        <w:softHyphen/>
        <w:t>های اسنوب روی آورده تا این پدیده را به شکلی شفاف</w:t>
      </w:r>
      <w:r w:rsidRPr="004E6F5C">
        <w:rPr>
          <w:rFonts w:cs="B Lotus" w:hint="cs"/>
          <w:sz w:val="24"/>
          <w:szCs w:val="24"/>
          <w:rtl/>
          <w:lang w:bidi="fa-IR"/>
        </w:rPr>
        <w:softHyphen/>
        <w:t>تر و عینی</w:t>
      </w:r>
      <w:r w:rsidRPr="004E6F5C">
        <w:rPr>
          <w:rFonts w:cs="B Lotus" w:hint="cs"/>
          <w:sz w:val="24"/>
          <w:szCs w:val="24"/>
          <w:rtl/>
          <w:lang w:bidi="fa-IR"/>
        </w:rPr>
        <w:softHyphen/>
        <w:t xml:space="preserve">تر به مخاطبان خود معرفی کند. </w:t>
      </w:r>
      <w:r>
        <w:rPr>
          <w:rFonts w:cs="B Lotus" w:hint="cs"/>
          <w:sz w:val="24"/>
          <w:szCs w:val="24"/>
          <w:rtl/>
          <w:lang w:bidi="fa-IR"/>
        </w:rPr>
        <w:t>از آن جایی که رادی در طول زندگی</w:t>
      </w:r>
      <w:r>
        <w:rPr>
          <w:rFonts w:cs="B Lotus" w:hint="cs"/>
          <w:sz w:val="24"/>
          <w:szCs w:val="24"/>
          <w:rtl/>
          <w:lang w:bidi="fa-IR"/>
        </w:rPr>
        <w:softHyphen/>
        <w:t>اش شاهد هر سه تحول مهم سیاسی و اجتماعی دوران معاصر ایران (کودتای 28 مرداد، انقلاب و جنگ) بود، و هر یک از این وقایع به نوبه خود تحولات عظیمی را در عرصه اجتماعی موجب شدند و زمینه را تاحدود زیادی برای ارتقای نوکیسگان فراهم کردند پس از هر کدام از این رویدادها شاهد شکل</w:t>
      </w:r>
      <w:r>
        <w:rPr>
          <w:rFonts w:cs="B Lotus" w:hint="cs"/>
          <w:sz w:val="24"/>
          <w:szCs w:val="24"/>
          <w:rtl/>
          <w:lang w:bidi="fa-IR"/>
        </w:rPr>
        <w:softHyphen/>
        <w:t>گیری طبقه نوکیسه و تازه</w:t>
      </w:r>
      <w:r>
        <w:rPr>
          <w:rFonts w:cs="B Lotus" w:hint="cs"/>
          <w:sz w:val="24"/>
          <w:szCs w:val="24"/>
          <w:rtl/>
          <w:lang w:bidi="fa-IR"/>
        </w:rPr>
        <w:softHyphen/>
        <w:t>به دوران رسیده هستیم.</w:t>
      </w:r>
    </w:p>
    <w:p w:rsidR="00782909" w:rsidRDefault="00782909" w:rsidP="00782909">
      <w:pPr>
        <w:bidi/>
        <w:jc w:val="both"/>
        <w:rPr>
          <w:rFonts w:cs="B Lotus"/>
          <w:sz w:val="24"/>
          <w:szCs w:val="24"/>
          <w:rtl/>
          <w:lang w:bidi="fa-IR"/>
        </w:rPr>
      </w:pPr>
    </w:p>
    <w:p w:rsidR="00782909" w:rsidRDefault="00782909" w:rsidP="00782909">
      <w:pPr>
        <w:bidi/>
        <w:jc w:val="both"/>
        <w:rPr>
          <w:rFonts w:cs="B Lotus"/>
          <w:sz w:val="24"/>
          <w:szCs w:val="24"/>
          <w:rtl/>
          <w:lang w:bidi="fa-IR"/>
        </w:rPr>
      </w:pPr>
    </w:p>
    <w:p w:rsidR="000013DA" w:rsidRDefault="000013DA" w:rsidP="00782909">
      <w:pPr>
        <w:bidi/>
        <w:jc w:val="both"/>
        <w:rPr>
          <w:rFonts w:cs="B Lotus"/>
          <w:sz w:val="24"/>
          <w:szCs w:val="24"/>
          <w:lang w:bidi="fa-IR"/>
        </w:rPr>
      </w:pPr>
    </w:p>
    <w:p w:rsidR="000013DA" w:rsidRDefault="000013DA" w:rsidP="000013DA">
      <w:pPr>
        <w:bidi/>
        <w:jc w:val="both"/>
        <w:rPr>
          <w:rFonts w:cs="B Lotus"/>
          <w:sz w:val="24"/>
          <w:szCs w:val="24"/>
          <w:lang w:bidi="fa-IR"/>
        </w:rPr>
      </w:pPr>
    </w:p>
    <w:p w:rsidR="000013DA" w:rsidRDefault="000013DA" w:rsidP="000013DA">
      <w:pPr>
        <w:bidi/>
        <w:jc w:val="both"/>
        <w:rPr>
          <w:rFonts w:cs="B Lotus"/>
          <w:sz w:val="24"/>
          <w:szCs w:val="24"/>
          <w:lang w:bidi="fa-IR"/>
        </w:rPr>
      </w:pPr>
    </w:p>
    <w:p w:rsidR="000013DA" w:rsidRDefault="000013DA" w:rsidP="000013DA">
      <w:pPr>
        <w:bidi/>
        <w:jc w:val="both"/>
        <w:rPr>
          <w:rFonts w:cs="B Lotus"/>
          <w:sz w:val="24"/>
          <w:szCs w:val="24"/>
          <w:lang w:bidi="fa-IR"/>
        </w:rPr>
      </w:pPr>
    </w:p>
    <w:p w:rsidR="000013DA" w:rsidRDefault="000013DA" w:rsidP="000013DA">
      <w:pPr>
        <w:bidi/>
        <w:jc w:val="both"/>
        <w:rPr>
          <w:rFonts w:cs="B Lotus"/>
          <w:sz w:val="24"/>
          <w:szCs w:val="24"/>
          <w:lang w:bidi="fa-IR"/>
        </w:rPr>
      </w:pPr>
    </w:p>
    <w:p w:rsidR="006E5B3B" w:rsidRPr="000013DA" w:rsidRDefault="00782909" w:rsidP="000013DA">
      <w:pPr>
        <w:bidi/>
        <w:jc w:val="both"/>
        <w:rPr>
          <w:rFonts w:cs="B Lotus"/>
          <w:sz w:val="24"/>
          <w:szCs w:val="24"/>
          <w:lang w:bidi="fa-IR"/>
        </w:rPr>
      </w:pPr>
      <w:r w:rsidRPr="004E6F5C">
        <w:rPr>
          <w:rFonts w:cs="B Lotus" w:hint="cs"/>
          <w:sz w:val="24"/>
          <w:szCs w:val="24"/>
          <w:rtl/>
          <w:lang w:bidi="fa-IR"/>
        </w:rPr>
        <w:t>کلیدواژه</w:t>
      </w:r>
      <w:r w:rsidRPr="004E6F5C">
        <w:rPr>
          <w:rFonts w:cs="B Lotus" w:hint="cs"/>
          <w:sz w:val="24"/>
          <w:szCs w:val="24"/>
          <w:rtl/>
          <w:lang w:bidi="fa-IR"/>
        </w:rPr>
        <w:softHyphen/>
        <w:t>ها: گلدمن، رادی، ساختگرایی تکوینی، اسنوبیسم، تازه به دوران رسیدگی فرهنگی، طبقه نوکیسه، تفسیر، تشریح</w:t>
      </w:r>
      <w:bookmarkStart w:id="0" w:name="_GoBack"/>
      <w:bookmarkEnd w:id="0"/>
    </w:p>
    <w:sectPr w:rsidR="006E5B3B" w:rsidRPr="00001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F7B"/>
    <w:rsid w:val="000013DA"/>
    <w:rsid w:val="00095F7B"/>
    <w:rsid w:val="006E5B3B"/>
    <w:rsid w:val="0078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9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9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2010-01-16T08:39:00Z</dcterms:created>
  <dcterms:modified xsi:type="dcterms:W3CDTF">2010-01-20T11:37:00Z</dcterms:modified>
</cp:coreProperties>
</file>